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E141" w14:textId="4CE8C07C" w:rsidR="00091683" w:rsidRPr="00EA76F7" w:rsidRDefault="000501CD" w:rsidP="001724FB">
      <w:pPr>
        <w:jc w:val="center"/>
        <w:rPr>
          <w:b/>
          <w:sz w:val="28"/>
          <w:szCs w:val="28"/>
          <w:lang w:val="fr-FR" w:eastAsia="fr-FR"/>
        </w:rPr>
      </w:pPr>
      <w:r>
        <w:rPr>
          <w:b/>
          <w:sz w:val="28"/>
          <w:szCs w:val="28"/>
          <w:lang w:val="fr-FR" w:eastAsia="fr-FR"/>
        </w:rPr>
        <w:t xml:space="preserve">Points d’attention </w:t>
      </w:r>
      <w:r w:rsidR="00056506">
        <w:rPr>
          <w:b/>
          <w:sz w:val="28"/>
          <w:szCs w:val="28"/>
          <w:lang w:val="fr-FR" w:eastAsia="fr-FR"/>
        </w:rPr>
        <w:t>p</w:t>
      </w:r>
      <w:r w:rsidR="00CA4DC2">
        <w:rPr>
          <w:b/>
          <w:sz w:val="28"/>
          <w:szCs w:val="28"/>
          <w:lang w:val="fr-FR" w:eastAsia="fr-FR"/>
        </w:rPr>
        <w:t xml:space="preserve">ar rapport à l’utilisation de </w:t>
      </w:r>
      <w:r w:rsidR="001724FB" w:rsidRPr="00EA76F7">
        <w:rPr>
          <w:b/>
          <w:sz w:val="28"/>
          <w:szCs w:val="28"/>
          <w:lang w:val="fr-FR" w:eastAsia="fr-FR"/>
        </w:rPr>
        <w:t>Lu-177-DOTATATE</w:t>
      </w:r>
    </w:p>
    <w:p w14:paraId="61B51613" w14:textId="77777777" w:rsidR="009975DE" w:rsidRPr="00EA76F7" w:rsidRDefault="009975DE" w:rsidP="00091683">
      <w:pPr>
        <w:jc w:val="both"/>
        <w:rPr>
          <w:lang w:val="fr-FR" w:eastAsia="fr-FR"/>
        </w:rPr>
      </w:pPr>
    </w:p>
    <w:p w14:paraId="176D496D" w14:textId="77777777" w:rsidR="00F132FD" w:rsidRPr="00EA76F7" w:rsidRDefault="00F132FD" w:rsidP="00091683">
      <w:pPr>
        <w:jc w:val="both"/>
        <w:rPr>
          <w:lang w:val="fr-FR" w:eastAsia="fr-FR"/>
        </w:rPr>
      </w:pPr>
    </w:p>
    <w:p w14:paraId="18E9D871" w14:textId="6F6945D3" w:rsidR="00A1283C" w:rsidRPr="00EA76F7" w:rsidRDefault="00056506" w:rsidP="00E161A6">
      <w:pPr>
        <w:jc w:val="both"/>
        <w:rPr>
          <w:lang w:val="fr-FR" w:eastAsia="fr-FR"/>
        </w:rPr>
      </w:pPr>
      <w:r>
        <w:rPr>
          <w:lang w:val="fr-FR" w:eastAsia="fr-FR"/>
        </w:rPr>
        <w:t>L’utilisation de</w:t>
      </w:r>
      <w:r w:rsidR="00624C8F" w:rsidRPr="00EA76F7">
        <w:rPr>
          <w:lang w:val="fr-FR" w:eastAsia="fr-FR"/>
        </w:rPr>
        <w:t xml:space="preserve"> Lu-177-DOTATATE </w:t>
      </w:r>
      <w:r>
        <w:rPr>
          <w:lang w:val="fr-FR" w:eastAsia="fr-FR"/>
        </w:rPr>
        <w:t>dans le traitement de</w:t>
      </w:r>
      <w:r w:rsidR="00624C8F" w:rsidRPr="00EA76F7">
        <w:rPr>
          <w:lang w:val="fr-FR" w:eastAsia="fr-FR"/>
        </w:rPr>
        <w:t xml:space="preserve"> </w:t>
      </w:r>
      <w:r w:rsidR="00E161A6">
        <w:rPr>
          <w:lang w:val="fr-FR" w:eastAsia="fr-FR"/>
        </w:rPr>
        <w:t>tumeurs neuroendocrines</w:t>
      </w:r>
      <w:r w:rsidR="00E161A6" w:rsidRPr="008C6F7B">
        <w:rPr>
          <w:lang w:val="fr-FR"/>
        </w:rPr>
        <w:t xml:space="preserve"> </w:t>
      </w:r>
      <w:proofErr w:type="spellStart"/>
      <w:r w:rsidR="00E161A6" w:rsidRPr="00E161A6">
        <w:rPr>
          <w:lang w:val="fr-FR" w:eastAsia="fr-FR"/>
        </w:rPr>
        <w:t>gastroentéropancréatiques</w:t>
      </w:r>
      <w:proofErr w:type="spellEnd"/>
      <w:r w:rsidR="00E161A6">
        <w:rPr>
          <w:lang w:val="fr-FR" w:eastAsia="fr-FR"/>
        </w:rPr>
        <w:t xml:space="preserve"> </w:t>
      </w:r>
      <w:r w:rsidR="00E161A6" w:rsidRPr="00EA76F7">
        <w:rPr>
          <w:lang w:val="fr-FR" w:eastAsia="fr-FR"/>
        </w:rPr>
        <w:t>(</w:t>
      </w:r>
      <w:r w:rsidR="00E161A6">
        <w:rPr>
          <w:lang w:val="fr-FR" w:eastAsia="fr-FR"/>
        </w:rPr>
        <w:t>TNE-</w:t>
      </w:r>
      <w:r w:rsidR="00E161A6" w:rsidRPr="00EA76F7">
        <w:rPr>
          <w:lang w:val="fr-FR" w:eastAsia="fr-FR"/>
        </w:rPr>
        <w:t>GEP)</w:t>
      </w:r>
      <w:r w:rsidR="00E161A6">
        <w:rPr>
          <w:lang w:val="fr-FR" w:eastAsia="fr-FR"/>
        </w:rPr>
        <w:t xml:space="preserve">, </w:t>
      </w:r>
      <w:r w:rsidR="00E161A6" w:rsidRPr="00E161A6">
        <w:rPr>
          <w:lang w:val="fr-FR" w:eastAsia="fr-FR"/>
        </w:rPr>
        <w:t>inopérables ou</w:t>
      </w:r>
      <w:r w:rsidR="00F67115">
        <w:rPr>
          <w:lang w:val="fr-FR" w:eastAsia="fr-FR"/>
        </w:rPr>
        <w:t xml:space="preserve"> </w:t>
      </w:r>
      <w:r w:rsidR="00E161A6" w:rsidRPr="00E161A6">
        <w:rPr>
          <w:lang w:val="fr-FR" w:eastAsia="fr-FR"/>
        </w:rPr>
        <w:t>métastatiques, progressives, bien différenciées (G1 et G2) et exprimant</w:t>
      </w:r>
      <w:r w:rsidR="00F67115">
        <w:rPr>
          <w:lang w:val="fr-FR" w:eastAsia="fr-FR"/>
        </w:rPr>
        <w:t xml:space="preserve"> </w:t>
      </w:r>
      <w:r w:rsidR="00E161A6" w:rsidRPr="00E161A6">
        <w:rPr>
          <w:lang w:val="fr-FR" w:eastAsia="fr-FR"/>
        </w:rPr>
        <w:t>des récepteurs de somatostatine chez les adultes</w:t>
      </w:r>
      <w:r>
        <w:rPr>
          <w:lang w:val="fr-FR" w:eastAsia="fr-FR"/>
        </w:rPr>
        <w:t xml:space="preserve"> est considérée par l’AFCN comme un</w:t>
      </w:r>
      <w:r w:rsidR="00F67115">
        <w:rPr>
          <w:lang w:val="fr-FR" w:eastAsia="fr-FR"/>
        </w:rPr>
        <w:t>e</w:t>
      </w:r>
      <w:r>
        <w:rPr>
          <w:lang w:val="fr-FR" w:eastAsia="fr-FR"/>
        </w:rPr>
        <w:t xml:space="preserve"> pratique médicale</w:t>
      </w:r>
      <w:r w:rsidRPr="008C6F7B">
        <w:rPr>
          <w:lang w:val="fr-FR"/>
        </w:rPr>
        <w:t xml:space="preserve"> </w:t>
      </w:r>
      <w:r w:rsidRPr="00056506">
        <w:rPr>
          <w:lang w:val="fr-FR" w:eastAsia="fr-FR"/>
        </w:rPr>
        <w:t>justifié</w:t>
      </w:r>
      <w:r>
        <w:rPr>
          <w:lang w:val="fr-FR" w:eastAsia="fr-FR"/>
        </w:rPr>
        <w:t>e de</w:t>
      </w:r>
      <w:r w:rsidRPr="00056506">
        <w:rPr>
          <w:lang w:val="fr-FR" w:eastAsia="fr-FR"/>
        </w:rPr>
        <w:t xml:space="preserve"> manière générale</w:t>
      </w:r>
      <w:r w:rsidR="00F132FD" w:rsidRPr="00EA76F7">
        <w:rPr>
          <w:lang w:val="fr-FR" w:eastAsia="fr-FR"/>
        </w:rPr>
        <w:t>.</w:t>
      </w:r>
      <w:r w:rsidR="000B720B" w:rsidRPr="00EA76F7">
        <w:rPr>
          <w:lang w:val="fr-FR" w:eastAsia="fr-FR"/>
        </w:rPr>
        <w:t xml:space="preserve"> </w:t>
      </w:r>
    </w:p>
    <w:p w14:paraId="10406615" w14:textId="0731AE89" w:rsidR="000B720B" w:rsidRPr="00EA76F7" w:rsidRDefault="00056506" w:rsidP="000B720B">
      <w:pPr>
        <w:jc w:val="both"/>
        <w:rPr>
          <w:lang w:val="fr-FR" w:eastAsia="fr-FR"/>
        </w:rPr>
      </w:pPr>
      <w:r>
        <w:rPr>
          <w:lang w:val="fr-FR" w:eastAsia="fr-FR"/>
        </w:rPr>
        <w:t>Après l’administration</w:t>
      </w:r>
      <w:r w:rsidR="000B720B" w:rsidRPr="00EA76F7">
        <w:rPr>
          <w:lang w:val="fr-FR" w:eastAsia="fr-FR"/>
        </w:rPr>
        <w:t xml:space="preserve"> </w:t>
      </w:r>
      <w:r>
        <w:rPr>
          <w:lang w:val="fr-FR" w:eastAsia="fr-FR"/>
        </w:rPr>
        <w:t xml:space="preserve">de </w:t>
      </w:r>
      <w:r w:rsidR="000B720B" w:rsidRPr="00EA76F7">
        <w:rPr>
          <w:lang w:val="fr-FR" w:eastAsia="fr-FR"/>
        </w:rPr>
        <w:t>Lu-177-DOTATATE</w:t>
      </w:r>
      <w:r>
        <w:rPr>
          <w:lang w:val="fr-FR" w:eastAsia="fr-FR"/>
        </w:rPr>
        <w:t>, les patients doivent rester hospitalisés au moins 24 heures dans une chambre autorisée à cet effet</w:t>
      </w:r>
      <w:r w:rsidR="00CE684F" w:rsidRPr="00EA76F7">
        <w:rPr>
          <w:rStyle w:val="FootnoteReference"/>
          <w:lang w:val="fr-FR" w:eastAsia="fr-FR"/>
        </w:rPr>
        <w:footnoteReference w:id="1"/>
      </w:r>
      <w:r w:rsidR="000B720B" w:rsidRPr="00EA76F7">
        <w:rPr>
          <w:lang w:val="fr-FR" w:eastAsia="fr-FR"/>
        </w:rPr>
        <w:t xml:space="preserve">. </w:t>
      </w:r>
      <w:r>
        <w:rPr>
          <w:lang w:val="fr-FR" w:eastAsia="fr-FR"/>
        </w:rPr>
        <w:t xml:space="preserve">Cette hospitalisation est indispensable en raison de l’activité élevée et du fait que la majeure partie de </w:t>
      </w:r>
      <w:r w:rsidR="00F67115">
        <w:rPr>
          <w:lang w:val="fr-FR" w:eastAsia="fr-FR"/>
        </w:rPr>
        <w:t>ce</w:t>
      </w:r>
      <w:r w:rsidR="008C6F7B">
        <w:rPr>
          <w:lang w:val="fr-FR" w:eastAsia="fr-FR"/>
        </w:rPr>
        <w:t>lle</w:t>
      </w:r>
      <w:r w:rsidR="00F67115">
        <w:rPr>
          <w:lang w:val="fr-FR" w:eastAsia="fr-FR"/>
        </w:rPr>
        <w:t>-ci</w:t>
      </w:r>
      <w:r w:rsidR="008C6F7B">
        <w:rPr>
          <w:lang w:val="fr-FR" w:eastAsia="fr-FR"/>
        </w:rPr>
        <w:t xml:space="preserve"> est excrétée par voie urinaire</w:t>
      </w:r>
      <w:r>
        <w:rPr>
          <w:lang w:val="fr-FR" w:eastAsia="fr-FR"/>
        </w:rPr>
        <w:t xml:space="preserve"> dans les 24 heures suivant l’administration. Cette hospitalisation garantit la radioprotection des personnes </w:t>
      </w:r>
      <w:r w:rsidR="00F67115">
        <w:rPr>
          <w:lang w:val="fr-FR" w:eastAsia="fr-FR"/>
        </w:rPr>
        <w:t>de l’entourage</w:t>
      </w:r>
      <w:r>
        <w:rPr>
          <w:lang w:val="fr-FR" w:eastAsia="fr-FR"/>
        </w:rPr>
        <w:t xml:space="preserve"> direct du patient (chez lui ou dans un centre de soins) et, de manière générale, </w:t>
      </w:r>
      <w:r w:rsidR="00650A43">
        <w:rPr>
          <w:lang w:val="fr-FR" w:eastAsia="fr-FR"/>
        </w:rPr>
        <w:t>du public</w:t>
      </w:r>
      <w:r>
        <w:rPr>
          <w:lang w:val="fr-FR" w:eastAsia="fr-FR"/>
        </w:rPr>
        <w:t xml:space="preserve"> et de l’environnement. </w:t>
      </w:r>
    </w:p>
    <w:p w14:paraId="6B76AA8F" w14:textId="183EDD38" w:rsidR="00D07612" w:rsidRPr="00EA76F7" w:rsidRDefault="00056506" w:rsidP="00D07612">
      <w:pPr>
        <w:jc w:val="both"/>
        <w:rPr>
          <w:lang w:val="fr-FR" w:eastAsia="fr-FR"/>
        </w:rPr>
      </w:pPr>
      <w:r w:rsidRPr="00056506">
        <w:rPr>
          <w:lang w:val="fr-FR" w:eastAsia="fr-FR"/>
        </w:rPr>
        <w:t xml:space="preserve">Nous </w:t>
      </w:r>
      <w:r>
        <w:rPr>
          <w:lang w:val="fr-FR" w:eastAsia="fr-FR"/>
        </w:rPr>
        <w:t>tenons à vous</w:t>
      </w:r>
      <w:r w:rsidRPr="00056506">
        <w:rPr>
          <w:lang w:val="fr-FR" w:eastAsia="fr-FR"/>
        </w:rPr>
        <w:t xml:space="preserve"> informer des conséquences </w:t>
      </w:r>
      <w:r>
        <w:rPr>
          <w:lang w:val="fr-FR" w:eastAsia="fr-FR"/>
        </w:rPr>
        <w:t>éventuelles</w:t>
      </w:r>
      <w:r w:rsidRPr="00056506">
        <w:rPr>
          <w:lang w:val="fr-FR" w:eastAsia="fr-FR"/>
        </w:rPr>
        <w:t xml:space="preserve"> de l'utilisation de ce produit </w:t>
      </w:r>
      <w:r>
        <w:rPr>
          <w:lang w:val="fr-FR" w:eastAsia="fr-FR"/>
        </w:rPr>
        <w:t>en termes de</w:t>
      </w:r>
      <w:r w:rsidRPr="00056506">
        <w:rPr>
          <w:lang w:val="fr-FR" w:eastAsia="fr-FR"/>
        </w:rPr>
        <w:t xml:space="preserve"> gestion des déchets radioactifs </w:t>
      </w:r>
      <w:r>
        <w:rPr>
          <w:lang w:val="fr-FR" w:eastAsia="fr-FR"/>
        </w:rPr>
        <w:t>au sein de l’établissement</w:t>
      </w:r>
      <w:r w:rsidRPr="00056506">
        <w:rPr>
          <w:lang w:val="fr-FR" w:eastAsia="fr-FR"/>
        </w:rPr>
        <w:t>.</w:t>
      </w:r>
    </w:p>
    <w:p w14:paraId="0DAE1C0C" w14:textId="77777777" w:rsidR="00D07612" w:rsidRPr="00EA76F7" w:rsidRDefault="00D07612" w:rsidP="000B720B">
      <w:pPr>
        <w:jc w:val="both"/>
        <w:rPr>
          <w:lang w:val="fr-FR" w:eastAsia="fr-FR"/>
        </w:rPr>
      </w:pPr>
    </w:p>
    <w:p w14:paraId="710C603A" w14:textId="7E959C3D" w:rsidR="000B720B" w:rsidRPr="00EA76F7" w:rsidRDefault="00EA76F7" w:rsidP="005D7153">
      <w:pPr>
        <w:jc w:val="both"/>
        <w:rPr>
          <w:lang w:val="fr-FR" w:eastAsia="fr-FR"/>
        </w:rPr>
      </w:pPr>
      <w:r w:rsidRPr="00EA76F7">
        <w:rPr>
          <w:lang w:val="fr-FR"/>
        </w:rPr>
        <w:t xml:space="preserve">Le </w:t>
      </w:r>
      <w:r w:rsidR="005D7153" w:rsidRPr="00EA76F7">
        <w:rPr>
          <w:lang w:val="fr-FR"/>
        </w:rPr>
        <w:t xml:space="preserve">Lu-177-DOTATATE </w:t>
      </w:r>
      <w:r w:rsidRPr="00EA76F7">
        <w:rPr>
          <w:lang w:val="fr-FR"/>
        </w:rPr>
        <w:t xml:space="preserve">est essentiellement composé de DOTATATE marqué au Lu-177 (t </w:t>
      </w:r>
      <w:r w:rsidRPr="008C6F7B">
        <w:rPr>
          <w:vertAlign w:val="subscript"/>
          <w:lang w:val="fr-FR"/>
        </w:rPr>
        <w:t>1/2</w:t>
      </w:r>
      <w:r w:rsidRPr="00EA76F7">
        <w:rPr>
          <w:lang w:val="fr-FR"/>
        </w:rPr>
        <w:t xml:space="preserve"> = 6,7 jours)</w:t>
      </w:r>
      <w:r w:rsidR="005D7153" w:rsidRPr="00EA76F7">
        <w:rPr>
          <w:lang w:val="fr-FR" w:eastAsia="fr-FR"/>
        </w:rPr>
        <w:t xml:space="preserve">. </w:t>
      </w:r>
    </w:p>
    <w:p w14:paraId="2F7FCFBC" w14:textId="77777777" w:rsidR="000501CD" w:rsidRDefault="00EA76F7" w:rsidP="005D7153">
      <w:pPr>
        <w:jc w:val="both"/>
        <w:rPr>
          <w:lang w:val="fr-FR"/>
        </w:rPr>
      </w:pPr>
      <w:r w:rsidRPr="00EA76F7">
        <w:rPr>
          <w:lang w:val="fr-FR"/>
        </w:rPr>
        <w:t>Ce</w:t>
      </w:r>
      <w:r w:rsidR="00E679E5" w:rsidRPr="00EA76F7">
        <w:rPr>
          <w:lang w:val="fr-FR"/>
        </w:rPr>
        <w:t xml:space="preserve"> Lu-177</w:t>
      </w:r>
      <w:r w:rsidR="00CB11AF" w:rsidRPr="00EA76F7">
        <w:rPr>
          <w:lang w:val="fr-FR"/>
        </w:rPr>
        <w:t xml:space="preserve"> </w:t>
      </w:r>
      <w:r w:rsidRPr="00EA76F7">
        <w:rPr>
          <w:lang w:val="fr-FR"/>
        </w:rPr>
        <w:t>est actuellement produit soit par méthode directe, soit par méthode indirecte</w:t>
      </w:r>
      <w:r w:rsidR="000501CD">
        <w:rPr>
          <w:lang w:val="fr-FR"/>
        </w:rPr>
        <w:t> :</w:t>
      </w:r>
    </w:p>
    <w:p w14:paraId="2F5EE490" w14:textId="68478F3B" w:rsidR="000501CD" w:rsidRDefault="00F67115" w:rsidP="000501CD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0501CD">
        <w:rPr>
          <w:lang w:val="fr-FR"/>
        </w:rPr>
        <w:t>Par</w:t>
      </w:r>
      <w:r w:rsidR="00EA76F7" w:rsidRPr="000501CD">
        <w:rPr>
          <w:lang w:val="fr-FR"/>
        </w:rPr>
        <w:t xml:space="preserve"> méthode directe</w:t>
      </w:r>
      <w:r w:rsidRPr="000501CD">
        <w:rPr>
          <w:lang w:val="fr-FR"/>
        </w:rPr>
        <w:t>, on obtient</w:t>
      </w:r>
      <w:r w:rsidR="00EA76F7" w:rsidRPr="000501CD">
        <w:rPr>
          <w:lang w:val="fr-FR"/>
        </w:rPr>
        <w:t xml:space="preserve"> du Lu-177 </w:t>
      </w:r>
      <w:r w:rsidRPr="000501CD">
        <w:rPr>
          <w:lang w:val="fr-FR"/>
        </w:rPr>
        <w:t>contenant</w:t>
      </w:r>
      <w:r w:rsidR="00EA76F7" w:rsidRPr="000501CD">
        <w:rPr>
          <w:lang w:val="fr-FR"/>
        </w:rPr>
        <w:t xml:space="preserve"> un contaminant radioactif : le Lu-177m </w:t>
      </w:r>
      <w:r w:rsidR="007E1884">
        <w:rPr>
          <w:lang w:val="fr-FR"/>
        </w:rPr>
        <w:br/>
      </w:r>
      <w:bookmarkStart w:id="0" w:name="_GoBack"/>
      <w:bookmarkEnd w:id="0"/>
      <w:r w:rsidR="00EA76F7" w:rsidRPr="000501CD">
        <w:rPr>
          <w:lang w:val="fr-FR"/>
        </w:rPr>
        <w:t xml:space="preserve">(t </w:t>
      </w:r>
      <w:r w:rsidR="00EA76F7" w:rsidRPr="000501CD">
        <w:rPr>
          <w:vertAlign w:val="subscript"/>
          <w:lang w:val="fr-FR"/>
        </w:rPr>
        <w:t>1/2</w:t>
      </w:r>
      <w:r w:rsidR="00EA76F7" w:rsidRPr="000501CD">
        <w:rPr>
          <w:lang w:val="fr-FR"/>
        </w:rPr>
        <w:t xml:space="preserve"> = 160,9 jours)</w:t>
      </w:r>
      <w:r w:rsidR="00E679E5" w:rsidRPr="000501CD">
        <w:rPr>
          <w:lang w:val="fr-FR"/>
        </w:rPr>
        <w:t xml:space="preserve">. </w:t>
      </w:r>
    </w:p>
    <w:p w14:paraId="54EA31EB" w14:textId="66734346" w:rsidR="00E15222" w:rsidRPr="000501CD" w:rsidRDefault="00EA76F7" w:rsidP="000501CD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0501CD">
        <w:rPr>
          <w:lang w:val="fr-FR"/>
        </w:rPr>
        <w:t xml:space="preserve">La méthode indirecte permet, par contre, d’obtenir des </w:t>
      </w:r>
      <w:r w:rsidRPr="000501CD">
        <w:rPr>
          <w:lang w:val="fr-FR" w:eastAsia="fr-FR"/>
        </w:rPr>
        <w:t xml:space="preserve">concentrations en Lu-177m </w:t>
      </w:r>
      <w:r w:rsidR="00F67115" w:rsidRPr="000501CD">
        <w:rPr>
          <w:lang w:val="fr-FR" w:eastAsia="fr-FR"/>
        </w:rPr>
        <w:t>sensiblement</w:t>
      </w:r>
      <w:r w:rsidRPr="000501CD">
        <w:rPr>
          <w:lang w:val="fr-FR" w:eastAsia="fr-FR"/>
        </w:rPr>
        <w:t xml:space="preserve"> plus faibles</w:t>
      </w:r>
      <w:r w:rsidR="00E679E5" w:rsidRPr="000501CD">
        <w:rPr>
          <w:lang w:val="fr-FR"/>
        </w:rPr>
        <w:t>.</w:t>
      </w:r>
    </w:p>
    <w:p w14:paraId="7186932F" w14:textId="7B972060" w:rsidR="00EA76F7" w:rsidRPr="00EA76F7" w:rsidRDefault="008E20E0" w:rsidP="00EA76F7">
      <w:pPr>
        <w:jc w:val="both"/>
        <w:rPr>
          <w:lang w:val="fr-FR"/>
        </w:rPr>
      </w:pPr>
      <w:r>
        <w:rPr>
          <w:lang w:val="fr-FR"/>
        </w:rPr>
        <w:t xml:space="preserve">La teneur en Lu-177m-DOTATATE du produit final Lu-177-DOTATATE variera donc en fonction de </w:t>
      </w:r>
      <w:r w:rsidR="00EA76F7">
        <w:rPr>
          <w:lang w:val="fr-FR"/>
        </w:rPr>
        <w:t>la m</w:t>
      </w:r>
      <w:r>
        <w:rPr>
          <w:lang w:val="fr-FR"/>
        </w:rPr>
        <w:t>éthode de production du Lu-177.</w:t>
      </w:r>
    </w:p>
    <w:p w14:paraId="579A6D66" w14:textId="580C71D4" w:rsidR="00E679E5" w:rsidRPr="00EA76F7" w:rsidRDefault="00E679E5" w:rsidP="005D7153">
      <w:pPr>
        <w:jc w:val="both"/>
        <w:rPr>
          <w:lang w:val="fr-FR"/>
        </w:rPr>
      </w:pPr>
    </w:p>
    <w:p w14:paraId="3E75C4E3" w14:textId="4A49306D" w:rsidR="00D07612" w:rsidRPr="00EA76F7" w:rsidRDefault="008E20E0" w:rsidP="00091683">
      <w:pPr>
        <w:jc w:val="both"/>
        <w:rPr>
          <w:lang w:val="fr-FR" w:eastAsia="fr-FR"/>
        </w:rPr>
      </w:pPr>
      <w:r>
        <w:rPr>
          <w:lang w:val="fr-FR" w:eastAsia="fr-FR"/>
        </w:rPr>
        <w:t>A l’heure actuelle, deux procédés permettant d’obtenir</w:t>
      </w:r>
      <w:r w:rsidR="008C6F7B">
        <w:rPr>
          <w:lang w:val="fr-FR" w:eastAsia="fr-FR"/>
        </w:rPr>
        <w:t xml:space="preserve"> le</w:t>
      </w:r>
      <w:r>
        <w:rPr>
          <w:lang w:val="fr-FR" w:eastAsia="fr-FR"/>
        </w:rPr>
        <w:t xml:space="preserve"> </w:t>
      </w:r>
      <w:r w:rsidR="008C6F7B">
        <w:rPr>
          <w:lang w:val="fr-FR"/>
        </w:rPr>
        <w:t xml:space="preserve">Lu-177-DOTATATE </w:t>
      </w:r>
      <w:r>
        <w:rPr>
          <w:lang w:val="fr-FR" w:eastAsia="fr-FR"/>
        </w:rPr>
        <w:t>sont autorisés :</w:t>
      </w:r>
    </w:p>
    <w:p w14:paraId="5D4EE61A" w14:textId="4253EFB6" w:rsidR="000501CD" w:rsidRDefault="000501CD" w:rsidP="00D07612">
      <w:pPr>
        <w:pStyle w:val="ListParagraph"/>
        <w:numPr>
          <w:ilvl w:val="0"/>
          <w:numId w:val="3"/>
        </w:numPr>
        <w:jc w:val="both"/>
        <w:rPr>
          <w:lang w:val="fr-FR" w:eastAsia="fr-FR"/>
        </w:rPr>
      </w:pPr>
      <w:r>
        <w:rPr>
          <w:lang w:val="fr-FR" w:eastAsia="fr-FR"/>
        </w:rPr>
        <w:t xml:space="preserve">L’achat de </w:t>
      </w:r>
      <w:r w:rsidRPr="00EA76F7">
        <w:rPr>
          <w:lang w:val="fr-FR" w:eastAsia="fr-FR"/>
        </w:rPr>
        <w:t>Lutathera</w:t>
      </w:r>
      <w:r w:rsidRPr="00EA76F7">
        <w:rPr>
          <w:vertAlign w:val="superscript"/>
          <w:lang w:val="fr-FR" w:eastAsia="fr-FR"/>
        </w:rPr>
        <w:t>®</w:t>
      </w:r>
      <w:r>
        <w:rPr>
          <w:vertAlign w:val="superscript"/>
          <w:lang w:val="fr-FR" w:eastAsia="fr-FR"/>
        </w:rPr>
        <w:t xml:space="preserve"> </w:t>
      </w:r>
      <w:r w:rsidRPr="00EA76F7">
        <w:rPr>
          <w:lang w:val="fr-FR" w:eastAsia="fr-FR"/>
        </w:rPr>
        <w:t xml:space="preserve">: </w:t>
      </w:r>
      <w:r w:rsidRPr="00640FA6">
        <w:rPr>
          <w:lang w:val="fr-FR" w:eastAsia="fr-FR"/>
        </w:rPr>
        <w:t>un produit radiopharmaceutique</w:t>
      </w:r>
      <w:r>
        <w:rPr>
          <w:lang w:val="fr-FR" w:eastAsia="fr-FR"/>
        </w:rPr>
        <w:t xml:space="preserve"> autorisé,</w:t>
      </w:r>
      <w:r w:rsidRPr="00640FA6">
        <w:rPr>
          <w:lang w:val="fr-FR" w:eastAsia="fr-FR"/>
        </w:rPr>
        <w:t xml:space="preserve"> prêt à l'emploi</w:t>
      </w:r>
      <w:r>
        <w:rPr>
          <w:lang w:val="fr-FR" w:eastAsia="fr-FR"/>
        </w:rPr>
        <w:t xml:space="preserve"> et marqué au</w:t>
      </w:r>
      <w:r w:rsidRPr="00640FA6">
        <w:rPr>
          <w:lang w:val="fr-FR" w:eastAsia="fr-FR"/>
        </w:rPr>
        <w:t xml:space="preserve"> Lu-177</w:t>
      </w:r>
      <w:r>
        <w:rPr>
          <w:lang w:val="fr-FR" w:eastAsia="fr-FR"/>
        </w:rPr>
        <w:t xml:space="preserve"> produit par méthode directe</w:t>
      </w:r>
    </w:p>
    <w:p w14:paraId="0AFBA723" w14:textId="48B5BE51" w:rsidR="00E66AD8" w:rsidRPr="000501CD" w:rsidRDefault="000501CD" w:rsidP="000501CD">
      <w:pPr>
        <w:pStyle w:val="ListParagraph"/>
        <w:numPr>
          <w:ilvl w:val="0"/>
          <w:numId w:val="3"/>
        </w:numPr>
        <w:jc w:val="both"/>
        <w:rPr>
          <w:lang w:val="fr-FR" w:eastAsia="fr-FR"/>
        </w:rPr>
      </w:pPr>
      <w:r>
        <w:rPr>
          <w:lang w:val="fr-FR" w:eastAsia="fr-FR"/>
        </w:rPr>
        <w:t>L</w:t>
      </w:r>
      <w:r w:rsidR="008E20E0">
        <w:rPr>
          <w:lang w:val="fr-FR" w:eastAsia="fr-FR"/>
        </w:rPr>
        <w:t xml:space="preserve">a préparation magistrale de </w:t>
      </w:r>
      <w:r w:rsidR="00D07612" w:rsidRPr="00EA76F7">
        <w:rPr>
          <w:lang w:val="fr-FR" w:eastAsia="fr-FR"/>
        </w:rPr>
        <w:t xml:space="preserve">Lu-177-DOTATATE </w:t>
      </w:r>
      <w:r w:rsidR="008E20E0">
        <w:rPr>
          <w:lang w:val="fr-FR" w:eastAsia="fr-FR"/>
        </w:rPr>
        <w:t>à partir de</w:t>
      </w:r>
      <w:r w:rsidR="00D07612" w:rsidRPr="00EA76F7">
        <w:rPr>
          <w:lang w:val="fr-FR" w:eastAsia="fr-FR"/>
        </w:rPr>
        <w:t xml:space="preserve"> </w:t>
      </w:r>
      <w:r w:rsidR="008C050A" w:rsidRPr="00EA76F7">
        <w:rPr>
          <w:lang w:val="fr-FR" w:eastAsia="fr-FR"/>
        </w:rPr>
        <w:t xml:space="preserve">Lu-177 </w:t>
      </w:r>
      <w:r w:rsidR="008E20E0">
        <w:rPr>
          <w:lang w:val="fr-FR" w:eastAsia="fr-FR"/>
        </w:rPr>
        <w:t>produit par méthode indirecte</w:t>
      </w:r>
      <w:r w:rsidR="00A1283C" w:rsidRPr="00EA76F7">
        <w:rPr>
          <w:rStyle w:val="FootnoteReference"/>
          <w:lang w:val="fr-FR" w:eastAsia="fr-FR"/>
        </w:rPr>
        <w:footnoteReference w:id="2"/>
      </w:r>
    </w:p>
    <w:p w14:paraId="00CF022F" w14:textId="40978330" w:rsidR="00E66AD8" w:rsidRPr="00EA76F7" w:rsidRDefault="0010458C" w:rsidP="00E66AD8">
      <w:pPr>
        <w:pStyle w:val="ListParagraph"/>
        <w:jc w:val="both"/>
        <w:rPr>
          <w:lang w:val="fr-FR" w:eastAsia="fr-FR"/>
        </w:rPr>
      </w:pPr>
      <w:r>
        <w:rPr>
          <w:lang w:val="fr-FR" w:eastAsia="fr-FR"/>
        </w:rPr>
        <w:t xml:space="preserve"> </w:t>
      </w:r>
    </w:p>
    <w:p w14:paraId="2F3C430D" w14:textId="3DCD0785" w:rsidR="008C050A" w:rsidRPr="00EA76F7" w:rsidRDefault="008E20E0" w:rsidP="00091683">
      <w:pPr>
        <w:jc w:val="both"/>
        <w:rPr>
          <w:lang w:val="fr-FR" w:eastAsia="fr-FR"/>
        </w:rPr>
      </w:pPr>
      <w:r>
        <w:rPr>
          <w:lang w:val="fr-FR" w:eastAsia="fr-FR"/>
        </w:rPr>
        <w:t xml:space="preserve">Ce choix n’est pas sans conséquence au niveau de la collecte </w:t>
      </w:r>
      <w:r w:rsidR="0010458C">
        <w:rPr>
          <w:lang w:val="fr-FR" w:eastAsia="fr-FR"/>
        </w:rPr>
        <w:t xml:space="preserve">des déchets radioactifs générés et du matériel contaminé </w:t>
      </w:r>
      <w:r w:rsidR="003160E8">
        <w:rPr>
          <w:lang w:val="fr-FR" w:eastAsia="fr-FR"/>
        </w:rPr>
        <w:t xml:space="preserve">au sein de </w:t>
      </w:r>
      <w:r w:rsidR="0010458C">
        <w:rPr>
          <w:lang w:val="fr-FR" w:eastAsia="fr-FR"/>
        </w:rPr>
        <w:t xml:space="preserve">l’hôpital (flacons, matériel d’injection, tissus, urine…) </w:t>
      </w:r>
      <w:r>
        <w:rPr>
          <w:lang w:val="fr-FR" w:eastAsia="fr-FR"/>
        </w:rPr>
        <w:t xml:space="preserve">et de la durée </w:t>
      </w:r>
      <w:r w:rsidR="0010458C">
        <w:rPr>
          <w:lang w:val="fr-FR" w:eastAsia="fr-FR"/>
        </w:rPr>
        <w:t>de leur stockage</w:t>
      </w:r>
      <w:r w:rsidR="006741FB">
        <w:rPr>
          <w:lang w:val="fr-FR" w:eastAsia="fr-FR"/>
        </w:rPr>
        <w:t xml:space="preserve"> jusqu’à ce que les conditions et niveaux de libération/rejet </w:t>
      </w:r>
      <w:r w:rsidR="0010458C">
        <w:rPr>
          <w:lang w:val="fr-FR" w:eastAsia="fr-FR"/>
        </w:rPr>
        <w:t>réglementaires</w:t>
      </w:r>
      <w:r w:rsidR="006741FB">
        <w:rPr>
          <w:lang w:val="fr-FR" w:eastAsia="fr-FR"/>
        </w:rPr>
        <w:t xml:space="preserve"> soient </w:t>
      </w:r>
      <w:r w:rsidR="0010458C">
        <w:rPr>
          <w:lang w:val="fr-FR" w:eastAsia="fr-FR"/>
        </w:rPr>
        <w:t>atteints</w:t>
      </w:r>
      <w:r w:rsidR="00B97AA3" w:rsidRPr="00EA76F7">
        <w:rPr>
          <w:lang w:val="fr-FR" w:eastAsia="fr-FR"/>
        </w:rPr>
        <w:t>.</w:t>
      </w:r>
    </w:p>
    <w:p w14:paraId="0698A21F" w14:textId="77777777" w:rsidR="00E66AD8" w:rsidRPr="00EA76F7" w:rsidRDefault="00E66AD8" w:rsidP="00E66AD8">
      <w:pPr>
        <w:pStyle w:val="ListParagraph"/>
        <w:jc w:val="both"/>
        <w:rPr>
          <w:lang w:val="fr-FR" w:eastAsia="fr-FR"/>
        </w:rPr>
      </w:pPr>
    </w:p>
    <w:p w14:paraId="1B23D0A4" w14:textId="272AA9CC" w:rsidR="00CA4DC2" w:rsidRPr="00CA4DC2" w:rsidRDefault="00CA4DC2" w:rsidP="00CA4DC2">
      <w:pPr>
        <w:jc w:val="both"/>
        <w:rPr>
          <w:lang w:val="fr-FR" w:eastAsia="fr-FR"/>
        </w:rPr>
      </w:pPr>
      <w:r>
        <w:rPr>
          <w:lang w:val="fr-FR" w:eastAsia="fr-FR"/>
        </w:rPr>
        <w:t>Il appartient à l'exploitant (ou au futur exploitant)</w:t>
      </w:r>
      <w:r w:rsidRPr="00CA4DC2">
        <w:rPr>
          <w:lang w:val="fr-FR" w:eastAsia="fr-FR"/>
        </w:rPr>
        <w:t xml:space="preserve"> de </w:t>
      </w:r>
      <w:r>
        <w:rPr>
          <w:lang w:val="fr-FR" w:eastAsia="fr-FR"/>
        </w:rPr>
        <w:t>doter son établissement de</w:t>
      </w:r>
      <w:r w:rsidRPr="00CA4DC2">
        <w:rPr>
          <w:lang w:val="fr-FR" w:eastAsia="fr-FR"/>
        </w:rPr>
        <w:t xml:space="preserve"> tous les moyens et</w:t>
      </w:r>
      <w:r>
        <w:rPr>
          <w:lang w:val="fr-FR" w:eastAsia="fr-FR"/>
        </w:rPr>
        <w:t xml:space="preserve"> de prendre toutes les</w:t>
      </w:r>
      <w:r w:rsidRPr="00CA4DC2">
        <w:rPr>
          <w:lang w:val="fr-FR" w:eastAsia="fr-FR"/>
        </w:rPr>
        <w:t xml:space="preserve"> mesures nécessaires pour </w:t>
      </w:r>
      <w:r>
        <w:rPr>
          <w:lang w:val="fr-FR" w:eastAsia="fr-FR"/>
        </w:rPr>
        <w:t>garantir</w:t>
      </w:r>
      <w:r w:rsidRPr="00CA4DC2">
        <w:rPr>
          <w:lang w:val="fr-FR" w:eastAsia="fr-FR"/>
        </w:rPr>
        <w:t xml:space="preserve"> une radioprotection adéquate des personnes et de l'environnement, </w:t>
      </w:r>
      <w:r>
        <w:rPr>
          <w:lang w:val="fr-FR" w:eastAsia="fr-FR"/>
        </w:rPr>
        <w:t xml:space="preserve">et </w:t>
      </w:r>
      <w:r w:rsidR="003160E8">
        <w:rPr>
          <w:lang w:val="fr-FR" w:eastAsia="fr-FR"/>
        </w:rPr>
        <w:t xml:space="preserve">de </w:t>
      </w:r>
      <w:r>
        <w:rPr>
          <w:lang w:val="fr-FR" w:eastAsia="fr-FR"/>
        </w:rPr>
        <w:t>satisfaire aux</w:t>
      </w:r>
      <w:r w:rsidRPr="00CA4DC2">
        <w:rPr>
          <w:lang w:val="fr-FR" w:eastAsia="fr-FR"/>
        </w:rPr>
        <w:t xml:space="preserve"> exigences réglementaires, en particulier celles </w:t>
      </w:r>
      <w:r>
        <w:rPr>
          <w:lang w:val="fr-FR" w:eastAsia="fr-FR"/>
        </w:rPr>
        <w:t xml:space="preserve">en matière de libération et de </w:t>
      </w:r>
      <w:r w:rsidRPr="00CA4DC2">
        <w:rPr>
          <w:lang w:val="fr-FR" w:eastAsia="fr-FR"/>
        </w:rPr>
        <w:t>rejet de</w:t>
      </w:r>
      <w:r>
        <w:rPr>
          <w:lang w:val="fr-FR" w:eastAsia="fr-FR"/>
        </w:rPr>
        <w:t>s</w:t>
      </w:r>
      <w:r w:rsidRPr="00CA4DC2">
        <w:rPr>
          <w:lang w:val="fr-FR" w:eastAsia="fr-FR"/>
        </w:rPr>
        <w:t xml:space="preserve"> déchets radioactifs et </w:t>
      </w:r>
      <w:r>
        <w:rPr>
          <w:lang w:val="fr-FR" w:eastAsia="fr-FR"/>
        </w:rPr>
        <w:t>de matériel</w:t>
      </w:r>
      <w:r w:rsidRPr="00CA4DC2">
        <w:rPr>
          <w:lang w:val="fr-FR" w:eastAsia="fr-FR"/>
        </w:rPr>
        <w:t xml:space="preserve"> contaminé. </w:t>
      </w:r>
    </w:p>
    <w:p w14:paraId="4A476489" w14:textId="057E87F4" w:rsidR="00881F67" w:rsidRPr="00EA76F7" w:rsidRDefault="00CA4DC2" w:rsidP="00CA4DC2">
      <w:pPr>
        <w:jc w:val="both"/>
        <w:rPr>
          <w:lang w:val="fr-FR" w:eastAsia="fr-FR"/>
        </w:rPr>
      </w:pPr>
      <w:r w:rsidRPr="00CA4DC2">
        <w:rPr>
          <w:lang w:val="fr-FR" w:eastAsia="fr-FR"/>
        </w:rPr>
        <w:t xml:space="preserve">Nous vous rappelons que les nouvelles installations et </w:t>
      </w:r>
      <w:r>
        <w:rPr>
          <w:lang w:val="fr-FR" w:eastAsia="fr-FR"/>
        </w:rPr>
        <w:t>pratiques</w:t>
      </w:r>
      <w:r w:rsidRPr="00CA4DC2">
        <w:rPr>
          <w:lang w:val="fr-FR" w:eastAsia="fr-FR"/>
        </w:rPr>
        <w:t xml:space="preserve"> ou les modifications </w:t>
      </w:r>
      <w:r>
        <w:rPr>
          <w:lang w:val="fr-FR" w:eastAsia="fr-FR"/>
        </w:rPr>
        <w:t xml:space="preserve">qui y sont </w:t>
      </w:r>
      <w:r w:rsidRPr="00CA4DC2">
        <w:rPr>
          <w:lang w:val="fr-FR" w:eastAsia="fr-FR"/>
        </w:rPr>
        <w:t xml:space="preserve">apportées doivent toujours être </w:t>
      </w:r>
      <w:r>
        <w:rPr>
          <w:lang w:val="fr-FR" w:eastAsia="fr-FR"/>
        </w:rPr>
        <w:t>préalablement contrôlées</w:t>
      </w:r>
      <w:r w:rsidRPr="00CA4DC2">
        <w:rPr>
          <w:lang w:val="fr-FR" w:eastAsia="fr-FR"/>
        </w:rPr>
        <w:t xml:space="preserve"> et approuvées par un expert </w:t>
      </w:r>
      <w:r>
        <w:rPr>
          <w:lang w:val="fr-FR" w:eastAsia="fr-FR"/>
        </w:rPr>
        <w:t xml:space="preserve">de contrôle </w:t>
      </w:r>
      <w:r w:rsidRPr="00CA4DC2">
        <w:rPr>
          <w:lang w:val="fr-FR" w:eastAsia="fr-FR"/>
        </w:rPr>
        <w:t xml:space="preserve">physique </w:t>
      </w:r>
      <w:r>
        <w:rPr>
          <w:lang w:val="fr-FR" w:eastAsia="fr-FR"/>
        </w:rPr>
        <w:t>agréé</w:t>
      </w:r>
      <w:r w:rsidRPr="00CA4DC2">
        <w:rPr>
          <w:lang w:val="fr-FR" w:eastAsia="fr-FR"/>
        </w:rPr>
        <w:t>.</w:t>
      </w:r>
    </w:p>
    <w:sectPr w:rsidR="00881F67" w:rsidRPr="00EA76F7" w:rsidSect="0012780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B7D9B" w14:textId="77777777" w:rsidR="00802A9E" w:rsidRDefault="00802A9E" w:rsidP="0067283C">
      <w:r>
        <w:separator/>
      </w:r>
    </w:p>
  </w:endnote>
  <w:endnote w:type="continuationSeparator" w:id="0">
    <w:p w14:paraId="04A27B98" w14:textId="77777777" w:rsidR="00802A9E" w:rsidRDefault="00802A9E" w:rsidP="0067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8830" w14:textId="77777777" w:rsidR="00802A9E" w:rsidRDefault="00802A9E" w:rsidP="0067283C">
      <w:r>
        <w:separator/>
      </w:r>
    </w:p>
  </w:footnote>
  <w:footnote w:type="continuationSeparator" w:id="0">
    <w:p w14:paraId="5517B38F" w14:textId="77777777" w:rsidR="00802A9E" w:rsidRDefault="00802A9E" w:rsidP="0067283C">
      <w:r>
        <w:continuationSeparator/>
      </w:r>
    </w:p>
  </w:footnote>
  <w:footnote w:id="1">
    <w:p w14:paraId="5EE72D70" w14:textId="3924E770" w:rsidR="000501CD" w:rsidRDefault="00CE684F" w:rsidP="00CE684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C6F7B">
        <w:rPr>
          <w:lang w:val="fr-FR"/>
        </w:rPr>
        <w:t xml:space="preserve"> </w:t>
      </w:r>
      <w:r w:rsidR="00CA4DC2" w:rsidRPr="008C6F7B">
        <w:rPr>
          <w:lang w:val="fr-FR"/>
        </w:rPr>
        <w:t>Avi</w:t>
      </w:r>
      <w:r w:rsidR="00056506" w:rsidRPr="008C6F7B">
        <w:rPr>
          <w:lang w:val="fr-FR"/>
        </w:rPr>
        <w:t>s</w:t>
      </w:r>
      <w:r w:rsidR="00CA4DC2" w:rsidRPr="008C6F7B">
        <w:rPr>
          <w:lang w:val="fr-FR"/>
        </w:rPr>
        <w:t xml:space="preserve"> du Conseil supérieur de la Santé</w:t>
      </w:r>
      <w:r w:rsidRPr="008C6F7B">
        <w:rPr>
          <w:lang w:val="fr-FR"/>
        </w:rPr>
        <w:t xml:space="preserve"> </w:t>
      </w:r>
      <w:r w:rsidR="000501CD">
        <w:rPr>
          <w:lang w:val="fr-FR"/>
        </w:rPr>
        <w:t>(</w:t>
      </w:r>
      <w:r w:rsidRPr="008C6F7B">
        <w:rPr>
          <w:lang w:val="fr-FR"/>
        </w:rPr>
        <w:t>2012</w:t>
      </w:r>
      <w:r w:rsidR="000501CD">
        <w:rPr>
          <w:lang w:val="fr-FR"/>
        </w:rPr>
        <w:t xml:space="preserve">) </w:t>
      </w:r>
      <w:hyperlink r:id="rId1" w:history="1">
        <w:r w:rsidR="000501CD" w:rsidRPr="00F33BCC">
          <w:rPr>
            <w:rStyle w:val="Hyperlink"/>
            <w:lang w:val="fr-FR"/>
          </w:rPr>
          <w:t>https://fanc.fgov.be/nl/system/files/peptide_receptor_radionuclide_therapy.pdf</w:t>
        </w:r>
      </w:hyperlink>
    </w:p>
    <w:p w14:paraId="1240DCE2" w14:textId="47DDCE00" w:rsidR="000501CD" w:rsidRPr="008C6F7B" w:rsidRDefault="000501CD" w:rsidP="00CE684F">
      <w:pPr>
        <w:pStyle w:val="FootnoteText"/>
        <w:rPr>
          <w:lang w:val="fr-FR"/>
        </w:rPr>
      </w:pPr>
      <w:r>
        <w:rPr>
          <w:lang w:val="fr-FR"/>
        </w:rPr>
        <w:t>et</w:t>
      </w:r>
      <w:r w:rsidR="00CE684F" w:rsidRPr="008C6F7B">
        <w:rPr>
          <w:lang w:val="fr-FR"/>
        </w:rPr>
        <w:t xml:space="preserve"> </w:t>
      </w:r>
      <w:r>
        <w:rPr>
          <w:lang w:val="fr-FR"/>
        </w:rPr>
        <w:t xml:space="preserve">joint IAEA, </w:t>
      </w:r>
      <w:r w:rsidR="00CE684F" w:rsidRPr="008C6F7B">
        <w:rPr>
          <w:lang w:val="fr-FR"/>
        </w:rPr>
        <w:t xml:space="preserve">EANM </w:t>
      </w:r>
      <w:r>
        <w:rPr>
          <w:lang w:val="fr-FR"/>
        </w:rPr>
        <w:t xml:space="preserve">et SNMMI guideline (2013) </w:t>
      </w:r>
      <w:hyperlink r:id="rId2" w:history="1">
        <w:r w:rsidRPr="00F33BCC">
          <w:rPr>
            <w:rStyle w:val="Hyperlink"/>
            <w:lang w:val="fr-FR"/>
          </w:rPr>
          <w:t>https://eanm.org/publications/guidelines/2013_published_RNTC_IAEA_EANM_SNMMI_Guidance_Paper_PRRNT.pdf</w:t>
        </w:r>
      </w:hyperlink>
    </w:p>
  </w:footnote>
  <w:footnote w:id="2">
    <w:p w14:paraId="3FE7E62D" w14:textId="74D3989E" w:rsidR="00A1283C" w:rsidRPr="008C6F7B" w:rsidRDefault="00A1283C" w:rsidP="00F2096A">
      <w:pPr>
        <w:pStyle w:val="FootnoteText"/>
        <w:ind w:left="142" w:hanging="142"/>
        <w:jc w:val="both"/>
        <w:rPr>
          <w:lang w:val="fr-FR"/>
        </w:rPr>
      </w:pPr>
      <w:r>
        <w:rPr>
          <w:rStyle w:val="FootnoteReference"/>
        </w:rPr>
        <w:footnoteRef/>
      </w:r>
      <w:r w:rsidRPr="008C6F7B">
        <w:rPr>
          <w:lang w:val="fr-FR"/>
        </w:rPr>
        <w:t xml:space="preserve"> </w:t>
      </w:r>
      <w:r w:rsidR="00CA4DC2" w:rsidRPr="008C6F7B">
        <w:rPr>
          <w:lang w:val="fr-FR"/>
        </w:rPr>
        <w:t>Une autorisation doit être obtenue pour cette mé</w:t>
      </w:r>
      <w:r w:rsidR="008C6F7B">
        <w:rPr>
          <w:lang w:val="fr-FR"/>
        </w:rPr>
        <w:t>t</w:t>
      </w:r>
      <w:r w:rsidR="00CA4DC2" w:rsidRPr="008C6F7B">
        <w:rPr>
          <w:lang w:val="fr-FR"/>
        </w:rPr>
        <w:t>hode en vertu de l’arrêté royal du</w:t>
      </w:r>
      <w:r w:rsidRPr="008C6F7B">
        <w:rPr>
          <w:lang w:val="fr-FR" w:eastAsia="fr-FR"/>
        </w:rPr>
        <w:t xml:space="preserve"> 12/07/2015 </w:t>
      </w:r>
      <w:r w:rsidR="00056506" w:rsidRPr="008C6F7B">
        <w:rPr>
          <w:lang w:val="fr-FR" w:eastAsia="fr-FR"/>
        </w:rPr>
        <w:t>relatif aux produits radioactifs destinés à un usage IN VITRO ou IN VIVO en médecine humaine, en médecine vétérinaire, dans un essai clinique ou dans une investigation clinique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9B5"/>
    <w:multiLevelType w:val="hybridMultilevel"/>
    <w:tmpl w:val="43DC9D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A1C"/>
    <w:multiLevelType w:val="hybridMultilevel"/>
    <w:tmpl w:val="99526A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658BE"/>
    <w:multiLevelType w:val="hybridMultilevel"/>
    <w:tmpl w:val="B69630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7E42"/>
    <w:multiLevelType w:val="hybridMultilevel"/>
    <w:tmpl w:val="35C2B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6E52"/>
    <w:multiLevelType w:val="hybridMultilevel"/>
    <w:tmpl w:val="114853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oment Froment">
    <w15:presenceInfo w15:providerId="Windows Live" w15:userId="667af8cfbb3266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3"/>
    <w:rsid w:val="0000736D"/>
    <w:rsid w:val="000501CD"/>
    <w:rsid w:val="00056506"/>
    <w:rsid w:val="00091683"/>
    <w:rsid w:val="000B720B"/>
    <w:rsid w:val="000E5B9F"/>
    <w:rsid w:val="0010458C"/>
    <w:rsid w:val="0011478B"/>
    <w:rsid w:val="00127805"/>
    <w:rsid w:val="001724FB"/>
    <w:rsid w:val="001951A3"/>
    <w:rsid w:val="00214B6D"/>
    <w:rsid w:val="002674CA"/>
    <w:rsid w:val="002B5D07"/>
    <w:rsid w:val="002F66B9"/>
    <w:rsid w:val="003160E8"/>
    <w:rsid w:val="00340013"/>
    <w:rsid w:val="00345582"/>
    <w:rsid w:val="003676B3"/>
    <w:rsid w:val="00393D33"/>
    <w:rsid w:val="003B37CB"/>
    <w:rsid w:val="003B71AE"/>
    <w:rsid w:val="00462A36"/>
    <w:rsid w:val="004667A8"/>
    <w:rsid w:val="005D7153"/>
    <w:rsid w:val="005D75DF"/>
    <w:rsid w:val="00624C8F"/>
    <w:rsid w:val="00650A43"/>
    <w:rsid w:val="0067283C"/>
    <w:rsid w:val="006741FB"/>
    <w:rsid w:val="007059EF"/>
    <w:rsid w:val="00710B50"/>
    <w:rsid w:val="007403CF"/>
    <w:rsid w:val="007434B4"/>
    <w:rsid w:val="00765A9B"/>
    <w:rsid w:val="00792E6D"/>
    <w:rsid w:val="007E1884"/>
    <w:rsid w:val="007E2C19"/>
    <w:rsid w:val="007F139A"/>
    <w:rsid w:val="00802A9E"/>
    <w:rsid w:val="008123A5"/>
    <w:rsid w:val="00814FFD"/>
    <w:rsid w:val="00817B3E"/>
    <w:rsid w:val="00821028"/>
    <w:rsid w:val="008323D5"/>
    <w:rsid w:val="00856CF3"/>
    <w:rsid w:val="00881F67"/>
    <w:rsid w:val="008B3E36"/>
    <w:rsid w:val="008C050A"/>
    <w:rsid w:val="008C6F7B"/>
    <w:rsid w:val="008E20E0"/>
    <w:rsid w:val="009902D1"/>
    <w:rsid w:val="009975DE"/>
    <w:rsid w:val="009A5FC4"/>
    <w:rsid w:val="009C03BE"/>
    <w:rsid w:val="00A1283C"/>
    <w:rsid w:val="00A85632"/>
    <w:rsid w:val="00A87658"/>
    <w:rsid w:val="00B17704"/>
    <w:rsid w:val="00B464A1"/>
    <w:rsid w:val="00B97AA3"/>
    <w:rsid w:val="00BA5BE0"/>
    <w:rsid w:val="00BE03B5"/>
    <w:rsid w:val="00BE0878"/>
    <w:rsid w:val="00C13EDD"/>
    <w:rsid w:val="00C265D3"/>
    <w:rsid w:val="00C67F82"/>
    <w:rsid w:val="00C84D6C"/>
    <w:rsid w:val="00CA3634"/>
    <w:rsid w:val="00CA4DC2"/>
    <w:rsid w:val="00CB11AF"/>
    <w:rsid w:val="00CD539E"/>
    <w:rsid w:val="00CE684F"/>
    <w:rsid w:val="00CF4302"/>
    <w:rsid w:val="00D07612"/>
    <w:rsid w:val="00D240AA"/>
    <w:rsid w:val="00D47419"/>
    <w:rsid w:val="00D552E7"/>
    <w:rsid w:val="00D87686"/>
    <w:rsid w:val="00E15222"/>
    <w:rsid w:val="00E161A6"/>
    <w:rsid w:val="00E66AD8"/>
    <w:rsid w:val="00E679E5"/>
    <w:rsid w:val="00E67F25"/>
    <w:rsid w:val="00E75E12"/>
    <w:rsid w:val="00EA76F7"/>
    <w:rsid w:val="00EB1BF1"/>
    <w:rsid w:val="00ED0BCA"/>
    <w:rsid w:val="00F132FD"/>
    <w:rsid w:val="00F2096A"/>
    <w:rsid w:val="00F67115"/>
    <w:rsid w:val="00F91310"/>
    <w:rsid w:val="00F9762E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6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83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83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9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83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83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3C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3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3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83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83C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8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7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83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83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9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83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83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3C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3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3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83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83C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8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7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anm.org/publications/guidelines/2013_published_RNTC_IAEA_EANM_SNMMI_Guidance_Paper_PRRNT.pdf" TargetMode="External"/><Relationship Id="rId1" Type="http://schemas.openxmlformats.org/officeDocument/2006/relationships/hyperlink" Target="https://fanc.fgov.be/nl/system/files/peptide_receptor_radionuclide_therap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B40A-726B-438A-8897-E798510C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VANDECAPELLE Marleen</dc:creator>
  <cp:lastModifiedBy>VANDECAPELLE Marleen</cp:lastModifiedBy>
  <cp:revision>3</cp:revision>
  <dcterms:created xsi:type="dcterms:W3CDTF">2019-06-17T08:50:00Z</dcterms:created>
  <dcterms:modified xsi:type="dcterms:W3CDTF">2019-08-19T14:36:00Z</dcterms:modified>
</cp:coreProperties>
</file>