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3E141" w14:textId="51EC07B4" w:rsidR="00091683" w:rsidRPr="00091683" w:rsidRDefault="00340013" w:rsidP="001724FB">
      <w:pPr>
        <w:jc w:val="center"/>
        <w:rPr>
          <w:b/>
          <w:sz w:val="28"/>
          <w:szCs w:val="28"/>
          <w:lang w:eastAsia="fr-FR"/>
        </w:rPr>
      </w:pPr>
      <w:r>
        <w:rPr>
          <w:b/>
          <w:sz w:val="28"/>
          <w:szCs w:val="28"/>
          <w:lang w:eastAsia="fr-FR"/>
        </w:rPr>
        <w:t xml:space="preserve">Aandachtspunten </w:t>
      </w:r>
      <w:r w:rsidR="00CE684F">
        <w:rPr>
          <w:b/>
          <w:sz w:val="28"/>
          <w:szCs w:val="28"/>
          <w:lang w:eastAsia="fr-FR"/>
        </w:rPr>
        <w:t>bij</w:t>
      </w:r>
      <w:r w:rsidR="001724FB">
        <w:rPr>
          <w:b/>
          <w:sz w:val="28"/>
          <w:szCs w:val="28"/>
          <w:lang w:eastAsia="fr-FR"/>
        </w:rPr>
        <w:t xml:space="preserve"> gebruik van</w:t>
      </w:r>
      <w:r w:rsidR="00CE684F">
        <w:rPr>
          <w:b/>
          <w:sz w:val="28"/>
          <w:szCs w:val="28"/>
          <w:lang w:eastAsia="fr-FR"/>
        </w:rPr>
        <w:t xml:space="preserve"> </w:t>
      </w:r>
      <w:r w:rsidR="001724FB">
        <w:rPr>
          <w:b/>
          <w:sz w:val="28"/>
          <w:szCs w:val="28"/>
          <w:lang w:eastAsia="fr-FR"/>
        </w:rPr>
        <w:t>Lu-177-DOTATATE</w:t>
      </w:r>
    </w:p>
    <w:p w14:paraId="61B51613" w14:textId="77777777" w:rsidR="009975DE" w:rsidRDefault="009975DE" w:rsidP="00091683">
      <w:pPr>
        <w:jc w:val="both"/>
        <w:rPr>
          <w:lang w:eastAsia="fr-FR"/>
        </w:rPr>
      </w:pPr>
    </w:p>
    <w:p w14:paraId="176D496D" w14:textId="77777777" w:rsidR="00F132FD" w:rsidRDefault="00F132FD" w:rsidP="00091683">
      <w:pPr>
        <w:jc w:val="both"/>
        <w:rPr>
          <w:lang w:eastAsia="fr-FR"/>
        </w:rPr>
      </w:pPr>
    </w:p>
    <w:p w14:paraId="18E9D871" w14:textId="2CC7458D" w:rsidR="00A1283C" w:rsidRDefault="005D7153" w:rsidP="000B720B">
      <w:pPr>
        <w:jc w:val="both"/>
        <w:rPr>
          <w:lang w:eastAsia="fr-FR"/>
        </w:rPr>
      </w:pPr>
      <w:r>
        <w:rPr>
          <w:lang w:eastAsia="fr-FR"/>
        </w:rPr>
        <w:t>H</w:t>
      </w:r>
      <w:r w:rsidR="00B464A1">
        <w:rPr>
          <w:lang w:eastAsia="fr-FR"/>
        </w:rPr>
        <w:t xml:space="preserve">et gebruik </w:t>
      </w:r>
      <w:r w:rsidR="00624C8F">
        <w:rPr>
          <w:lang w:eastAsia="fr-FR"/>
        </w:rPr>
        <w:t xml:space="preserve">van Lu-177-DOTATATE voor de </w:t>
      </w:r>
      <w:r w:rsidR="00624C8F" w:rsidRPr="00A85632">
        <w:rPr>
          <w:lang w:eastAsia="fr-FR"/>
        </w:rPr>
        <w:t>behandeling van niet-reseceerbare of gemetastaseerde, progressieve, goed gedifferentieerde (G1 en G2), somatostatinereceptor-positieve gastro-entero-pancreatische neuro-endocriene tumoren (GEP-</w:t>
      </w:r>
      <w:proofErr w:type="spellStart"/>
      <w:r w:rsidR="00624C8F" w:rsidRPr="00A85632">
        <w:rPr>
          <w:lang w:eastAsia="fr-FR"/>
        </w:rPr>
        <w:t>NET's</w:t>
      </w:r>
      <w:proofErr w:type="spellEnd"/>
      <w:r w:rsidR="00624C8F" w:rsidRPr="00A85632">
        <w:rPr>
          <w:lang w:eastAsia="fr-FR"/>
        </w:rPr>
        <w:t>) bij volwassenen</w:t>
      </w:r>
      <w:r w:rsidR="00624C8F">
        <w:rPr>
          <w:lang w:eastAsia="fr-FR"/>
        </w:rPr>
        <w:t xml:space="preserve"> </w:t>
      </w:r>
      <w:r>
        <w:rPr>
          <w:lang w:eastAsia="fr-FR"/>
        </w:rPr>
        <w:t xml:space="preserve">wordt door het FANC </w:t>
      </w:r>
      <w:r w:rsidR="00D87686">
        <w:rPr>
          <w:lang w:eastAsia="fr-FR"/>
        </w:rPr>
        <w:t>als</w:t>
      </w:r>
      <w:r w:rsidR="001951A3">
        <w:rPr>
          <w:lang w:eastAsia="fr-FR"/>
        </w:rPr>
        <w:t xml:space="preserve"> een</w:t>
      </w:r>
      <w:r w:rsidR="00D87686">
        <w:rPr>
          <w:lang w:eastAsia="fr-FR"/>
        </w:rPr>
        <w:t xml:space="preserve"> algemeen </w:t>
      </w:r>
      <w:r w:rsidR="00F132FD">
        <w:rPr>
          <w:lang w:eastAsia="fr-FR"/>
        </w:rPr>
        <w:t>gerechtvaardigd</w:t>
      </w:r>
      <w:r w:rsidR="00B464A1">
        <w:rPr>
          <w:lang w:eastAsia="fr-FR"/>
        </w:rPr>
        <w:t>e</w:t>
      </w:r>
      <w:r w:rsidR="001951A3">
        <w:rPr>
          <w:lang w:eastAsia="fr-FR"/>
        </w:rPr>
        <w:t xml:space="preserve"> medische</w:t>
      </w:r>
      <w:r w:rsidR="00B464A1">
        <w:rPr>
          <w:lang w:eastAsia="fr-FR"/>
        </w:rPr>
        <w:t xml:space="preserve"> handeling</w:t>
      </w:r>
      <w:r w:rsidR="00D87686">
        <w:rPr>
          <w:lang w:eastAsia="fr-FR"/>
        </w:rPr>
        <w:t xml:space="preserve"> </w:t>
      </w:r>
      <w:r w:rsidR="00F132FD">
        <w:rPr>
          <w:lang w:eastAsia="fr-FR"/>
        </w:rPr>
        <w:t>beschouwd.</w:t>
      </w:r>
      <w:r w:rsidR="000B720B">
        <w:rPr>
          <w:lang w:eastAsia="fr-FR"/>
        </w:rPr>
        <w:t xml:space="preserve"> </w:t>
      </w:r>
    </w:p>
    <w:p w14:paraId="10406615" w14:textId="61B70ED9" w:rsidR="000B720B" w:rsidRDefault="000B720B" w:rsidP="000B720B">
      <w:pPr>
        <w:jc w:val="both"/>
        <w:rPr>
          <w:lang w:eastAsia="fr-FR"/>
        </w:rPr>
      </w:pPr>
      <w:r>
        <w:rPr>
          <w:lang w:eastAsia="fr-FR"/>
        </w:rPr>
        <w:t>Na toediening van Lu-177-DOTATATE moeten patiënten minstens 24 uur gehospitaliseerd worden in een hiervoor vergunde kamer</w:t>
      </w:r>
      <w:r w:rsidR="00CE684F">
        <w:rPr>
          <w:rStyle w:val="FootnoteReference"/>
          <w:lang w:eastAsia="fr-FR"/>
        </w:rPr>
        <w:footnoteReference w:id="1"/>
      </w:r>
      <w:r>
        <w:rPr>
          <w:lang w:eastAsia="fr-FR"/>
        </w:rPr>
        <w:t>. Deze hospitalisatie is noodzakelijk omwille van de hoge toegediende activiteit en het feit dat het grootste deel hiervan urinair geëxcreteerd worden binnen de 24 uur na toediening. Deze hospitalisatie zorgt voor de stralingsbescherming van de personen in de onmiddellijke omgeving van de patiënt (thuis of in een woonzorgcentrum) en van personen en leefmilieu in het algemeen.</w:t>
      </w:r>
    </w:p>
    <w:p w14:paraId="6B76AA8F" w14:textId="3A423957" w:rsidR="00D07612" w:rsidRDefault="00D07612" w:rsidP="00D07612">
      <w:pPr>
        <w:jc w:val="both"/>
        <w:rPr>
          <w:lang w:eastAsia="fr-FR"/>
        </w:rPr>
      </w:pPr>
      <w:r>
        <w:rPr>
          <w:lang w:eastAsia="fr-FR"/>
        </w:rPr>
        <w:t xml:space="preserve">Wij houden er aan u te informeren over de </w:t>
      </w:r>
      <w:r w:rsidR="00A1283C">
        <w:rPr>
          <w:lang w:eastAsia="fr-FR"/>
        </w:rPr>
        <w:t xml:space="preserve">eventuele </w:t>
      </w:r>
      <w:r>
        <w:rPr>
          <w:lang w:eastAsia="fr-FR"/>
        </w:rPr>
        <w:t>gevolgen van het gebruik van dit product</w:t>
      </w:r>
      <w:r w:rsidRPr="0067283C">
        <w:rPr>
          <w:lang w:eastAsia="fr-FR"/>
        </w:rPr>
        <w:t xml:space="preserve"> </w:t>
      </w:r>
      <w:r>
        <w:rPr>
          <w:lang w:eastAsia="fr-FR"/>
        </w:rPr>
        <w:t>voor het beheer van de radioactief afvalstoffen in de inrichting.</w:t>
      </w:r>
    </w:p>
    <w:p w14:paraId="0DAE1C0C" w14:textId="77777777" w:rsidR="00D07612" w:rsidRDefault="00D07612" w:rsidP="000B720B">
      <w:pPr>
        <w:jc w:val="both"/>
        <w:rPr>
          <w:lang w:eastAsia="fr-FR"/>
        </w:rPr>
      </w:pPr>
    </w:p>
    <w:p w14:paraId="710C603A" w14:textId="29D0628F" w:rsidR="000B720B" w:rsidRDefault="005D7153" w:rsidP="005D7153">
      <w:pPr>
        <w:jc w:val="both"/>
        <w:rPr>
          <w:lang w:eastAsia="fr-FR"/>
        </w:rPr>
      </w:pPr>
      <w:r>
        <w:t xml:space="preserve">Lu-177-DOTATATE bestaat essentieel uit DOTATATE gemerkt met </w:t>
      </w:r>
      <w:r w:rsidR="00214B6D">
        <w:t>Lu</w:t>
      </w:r>
      <w:r>
        <w:rPr>
          <w:lang w:eastAsia="fr-FR"/>
        </w:rPr>
        <w:t>-177 (t</w:t>
      </w:r>
      <w:r>
        <w:rPr>
          <w:vertAlign w:val="subscript"/>
          <w:lang w:eastAsia="fr-FR"/>
        </w:rPr>
        <w:t>1/2</w:t>
      </w:r>
      <w:r>
        <w:rPr>
          <w:lang w:eastAsia="fr-FR"/>
        </w:rPr>
        <w:t xml:space="preserve"> = 6,7 dagen). </w:t>
      </w:r>
    </w:p>
    <w:p w14:paraId="152BEF9D" w14:textId="77777777" w:rsidR="009E1331" w:rsidRDefault="00BE0878" w:rsidP="005D7153">
      <w:pPr>
        <w:jc w:val="both"/>
      </w:pPr>
      <w:r>
        <w:t>De</w:t>
      </w:r>
      <w:r w:rsidR="00E679E5">
        <w:t xml:space="preserve"> productie van</w:t>
      </w:r>
      <w:r w:rsidR="005D7153">
        <w:t xml:space="preserve"> dit</w:t>
      </w:r>
      <w:r w:rsidR="00E679E5">
        <w:t xml:space="preserve"> Lu-177</w:t>
      </w:r>
      <w:r w:rsidR="00CB11AF">
        <w:t xml:space="preserve"> </w:t>
      </w:r>
      <w:r w:rsidR="005D7153">
        <w:t>gebeurt momenteel</w:t>
      </w:r>
      <w:r w:rsidR="00E679E5">
        <w:t xml:space="preserve"> via een </w:t>
      </w:r>
      <w:r w:rsidR="00E15222">
        <w:t xml:space="preserve">directe </w:t>
      </w:r>
      <w:r w:rsidR="00E679E5">
        <w:t xml:space="preserve">of </w:t>
      </w:r>
      <w:r w:rsidR="00E15222">
        <w:t xml:space="preserve">indirecte </w:t>
      </w:r>
      <w:r w:rsidR="00E679E5">
        <w:t>methode</w:t>
      </w:r>
      <w:r w:rsidR="009E1331">
        <w:t>:</w:t>
      </w:r>
    </w:p>
    <w:p w14:paraId="71061488" w14:textId="77777777" w:rsidR="009E1331" w:rsidRDefault="00D47419" w:rsidP="009E1331">
      <w:pPr>
        <w:pStyle w:val="ListParagraph"/>
        <w:numPr>
          <w:ilvl w:val="0"/>
          <w:numId w:val="5"/>
        </w:numPr>
        <w:jc w:val="both"/>
      </w:pPr>
      <w:r>
        <w:t>De directe methode</w:t>
      </w:r>
      <w:r w:rsidR="00E679E5">
        <w:t xml:space="preserve"> </w:t>
      </w:r>
      <w:r w:rsidR="00E15222">
        <w:t>resulteert in Lu-177 dat een</w:t>
      </w:r>
      <w:r w:rsidR="00E679E5">
        <w:t xml:space="preserve"> radioactieve contaminant Lu-177m </w:t>
      </w:r>
      <w:r w:rsidR="00F2096A">
        <w:rPr>
          <w:lang w:eastAsia="fr-FR"/>
        </w:rPr>
        <w:t>(t</w:t>
      </w:r>
      <w:r w:rsidR="00E679E5" w:rsidRPr="009E1331">
        <w:rPr>
          <w:vertAlign w:val="subscript"/>
          <w:lang w:eastAsia="fr-FR"/>
        </w:rPr>
        <w:t>1/2</w:t>
      </w:r>
      <w:r w:rsidR="00E679E5">
        <w:rPr>
          <w:lang w:eastAsia="fr-FR"/>
        </w:rPr>
        <w:t xml:space="preserve"> = 160,9 dagen)</w:t>
      </w:r>
      <w:r w:rsidR="00E15222">
        <w:rPr>
          <w:lang w:eastAsia="fr-FR"/>
        </w:rPr>
        <w:t xml:space="preserve"> bevat</w:t>
      </w:r>
      <w:r w:rsidR="00E679E5">
        <w:t xml:space="preserve">. </w:t>
      </w:r>
    </w:p>
    <w:p w14:paraId="54EA31EB" w14:textId="114EA84F" w:rsidR="00E15222" w:rsidRDefault="00E679E5" w:rsidP="009E1331">
      <w:pPr>
        <w:pStyle w:val="ListParagraph"/>
        <w:numPr>
          <w:ilvl w:val="0"/>
          <w:numId w:val="5"/>
        </w:numPr>
        <w:jc w:val="both"/>
      </w:pPr>
      <w:r>
        <w:t xml:space="preserve">De indirecte </w:t>
      </w:r>
      <w:r w:rsidR="00E15222">
        <w:t xml:space="preserve">methode resulteert in veel lager gehaltes aan </w:t>
      </w:r>
      <w:r w:rsidR="00E15222">
        <w:rPr>
          <w:lang w:eastAsia="fr-FR"/>
        </w:rPr>
        <w:t>Lu-177m</w:t>
      </w:r>
      <w:r>
        <w:t>.</w:t>
      </w:r>
    </w:p>
    <w:p w14:paraId="579A6D66" w14:textId="1F6FCEE8" w:rsidR="00E679E5" w:rsidRDefault="00E15222" w:rsidP="005D7153">
      <w:pPr>
        <w:jc w:val="both"/>
      </w:pPr>
      <w:r>
        <w:t xml:space="preserve">Afhankelijk van </w:t>
      </w:r>
      <w:r w:rsidR="008C050A">
        <w:t>de</w:t>
      </w:r>
      <w:r>
        <w:t xml:space="preserve"> productie</w:t>
      </w:r>
      <w:r w:rsidR="008C050A">
        <w:t>methode</w:t>
      </w:r>
      <w:r>
        <w:t xml:space="preserve"> van </w:t>
      </w:r>
      <w:r w:rsidR="00CE684F">
        <w:t xml:space="preserve">het </w:t>
      </w:r>
      <w:r>
        <w:t>Lu-177, zal het gehalte aan Lu-177m</w:t>
      </w:r>
      <w:r w:rsidR="008C050A">
        <w:t>-DOTATATE</w:t>
      </w:r>
      <w:r>
        <w:t xml:space="preserve"> in het eindproduct Lu-177-DOTATATE overeenkomstig verschillen.</w:t>
      </w:r>
    </w:p>
    <w:p w14:paraId="5A63C87B" w14:textId="77777777" w:rsidR="00E679E5" w:rsidRDefault="00E679E5" w:rsidP="00091683">
      <w:pPr>
        <w:jc w:val="both"/>
        <w:rPr>
          <w:lang w:eastAsia="fr-FR"/>
        </w:rPr>
      </w:pPr>
    </w:p>
    <w:p w14:paraId="3E75C4E3" w14:textId="5F3970C9" w:rsidR="00D07612" w:rsidRDefault="008C050A" w:rsidP="00091683">
      <w:pPr>
        <w:jc w:val="both"/>
        <w:rPr>
          <w:lang w:eastAsia="fr-FR"/>
        </w:rPr>
      </w:pPr>
      <w:r>
        <w:rPr>
          <w:lang w:eastAsia="fr-FR"/>
        </w:rPr>
        <w:t xml:space="preserve">Op dit ogenblik, </w:t>
      </w:r>
      <w:r w:rsidR="009C03BE">
        <w:rPr>
          <w:lang w:eastAsia="fr-FR"/>
        </w:rPr>
        <w:t xml:space="preserve">worden 2 manieren toegelaten om </w:t>
      </w:r>
      <w:r w:rsidR="00E041F1">
        <w:rPr>
          <w:lang w:eastAsia="fr-FR"/>
        </w:rPr>
        <w:t xml:space="preserve">Lu-177-DOTATATE </w:t>
      </w:r>
      <w:r w:rsidR="009C03BE">
        <w:rPr>
          <w:lang w:eastAsia="fr-FR"/>
        </w:rPr>
        <w:t xml:space="preserve">te </w:t>
      </w:r>
      <w:r w:rsidR="00BA5BE0">
        <w:rPr>
          <w:lang w:eastAsia="fr-FR"/>
        </w:rPr>
        <w:t>bekomen:</w:t>
      </w:r>
    </w:p>
    <w:p w14:paraId="7A3BC6A0" w14:textId="77777777" w:rsidR="009E1331" w:rsidRDefault="009E1331" w:rsidP="009E1331">
      <w:pPr>
        <w:pStyle w:val="ListParagraph"/>
        <w:numPr>
          <w:ilvl w:val="0"/>
          <w:numId w:val="3"/>
        </w:numPr>
        <w:jc w:val="both"/>
        <w:rPr>
          <w:lang w:eastAsia="fr-FR"/>
        </w:rPr>
      </w:pPr>
      <w:r>
        <w:rPr>
          <w:lang w:eastAsia="fr-FR"/>
        </w:rPr>
        <w:t>Lutathera</w:t>
      </w:r>
      <w:r w:rsidRPr="00E66AD8">
        <w:rPr>
          <w:vertAlign w:val="superscript"/>
          <w:lang w:eastAsia="fr-FR"/>
        </w:rPr>
        <w:t>®</w:t>
      </w:r>
      <w:r>
        <w:rPr>
          <w:lang w:eastAsia="fr-FR"/>
        </w:rPr>
        <w:t xml:space="preserve"> aankopen: dit is een vergund, ready-</w:t>
      </w:r>
      <w:proofErr w:type="spellStart"/>
      <w:r>
        <w:rPr>
          <w:lang w:eastAsia="fr-FR"/>
        </w:rPr>
        <w:t>to</w:t>
      </w:r>
      <w:proofErr w:type="spellEnd"/>
      <w:r>
        <w:rPr>
          <w:lang w:eastAsia="fr-FR"/>
        </w:rPr>
        <w:t>-</w:t>
      </w:r>
      <w:proofErr w:type="spellStart"/>
      <w:r>
        <w:rPr>
          <w:lang w:eastAsia="fr-FR"/>
        </w:rPr>
        <w:t>use</w:t>
      </w:r>
      <w:proofErr w:type="spellEnd"/>
      <w:r>
        <w:rPr>
          <w:lang w:eastAsia="fr-FR"/>
        </w:rPr>
        <w:t xml:space="preserve"> radiofarmacon dat gemerkt is met </w:t>
      </w:r>
      <w:r>
        <w:t>Lu-177 dat werd geproduceerd via de directe methode</w:t>
      </w:r>
    </w:p>
    <w:p w14:paraId="7689543D" w14:textId="60F64601" w:rsidR="00D07612" w:rsidRDefault="00D07612" w:rsidP="00D07612">
      <w:pPr>
        <w:pStyle w:val="ListParagraph"/>
        <w:numPr>
          <w:ilvl w:val="0"/>
          <w:numId w:val="3"/>
        </w:numPr>
        <w:jc w:val="both"/>
        <w:rPr>
          <w:lang w:eastAsia="fr-FR"/>
        </w:rPr>
      </w:pPr>
      <w:r>
        <w:rPr>
          <w:lang w:eastAsia="fr-FR"/>
        </w:rPr>
        <w:t xml:space="preserve">Lu-177-DOTATATE </w:t>
      </w:r>
      <w:r w:rsidR="009C03BE">
        <w:rPr>
          <w:lang w:eastAsia="fr-FR"/>
        </w:rPr>
        <w:t>magistraal</w:t>
      </w:r>
      <w:r>
        <w:rPr>
          <w:lang w:eastAsia="fr-FR"/>
        </w:rPr>
        <w:t xml:space="preserve"> bereiden </w:t>
      </w:r>
      <w:r w:rsidR="008C050A">
        <w:rPr>
          <w:lang w:eastAsia="fr-FR"/>
        </w:rPr>
        <w:t>uitgaande van</w:t>
      </w:r>
      <w:r>
        <w:rPr>
          <w:lang w:eastAsia="fr-FR"/>
        </w:rPr>
        <w:t xml:space="preserve"> </w:t>
      </w:r>
      <w:r w:rsidR="008C050A">
        <w:rPr>
          <w:lang w:eastAsia="fr-FR"/>
        </w:rPr>
        <w:t>Lu-177 geproduceerd via de indirecte methode</w:t>
      </w:r>
      <w:r w:rsidR="00A1283C">
        <w:rPr>
          <w:rStyle w:val="FootnoteReference"/>
          <w:lang w:eastAsia="fr-FR"/>
        </w:rPr>
        <w:footnoteReference w:id="2"/>
      </w:r>
    </w:p>
    <w:p w14:paraId="00CF022F" w14:textId="77777777" w:rsidR="00E66AD8" w:rsidRDefault="00E66AD8" w:rsidP="00E66AD8">
      <w:pPr>
        <w:pStyle w:val="ListParagraph"/>
        <w:jc w:val="both"/>
        <w:rPr>
          <w:lang w:eastAsia="fr-FR"/>
        </w:rPr>
      </w:pPr>
    </w:p>
    <w:p w14:paraId="2F3C430D" w14:textId="5081B8C6" w:rsidR="008C050A" w:rsidRDefault="00BA5BE0" w:rsidP="00091683">
      <w:pPr>
        <w:jc w:val="both"/>
        <w:rPr>
          <w:lang w:eastAsia="fr-FR"/>
        </w:rPr>
      </w:pPr>
      <w:r>
        <w:rPr>
          <w:lang w:eastAsia="fr-FR"/>
        </w:rPr>
        <w:t xml:space="preserve">Deze keuze heeft </w:t>
      </w:r>
      <w:r w:rsidR="00CF4302">
        <w:rPr>
          <w:lang w:eastAsia="fr-FR"/>
        </w:rPr>
        <w:t xml:space="preserve">o.a. </w:t>
      </w:r>
      <w:r>
        <w:rPr>
          <w:lang w:eastAsia="fr-FR"/>
        </w:rPr>
        <w:t>gevolgen voor</w:t>
      </w:r>
      <w:r w:rsidR="00CD539E">
        <w:rPr>
          <w:lang w:eastAsia="fr-FR"/>
        </w:rPr>
        <w:t xml:space="preserve"> de</w:t>
      </w:r>
      <w:r w:rsidR="00CF4302">
        <w:rPr>
          <w:lang w:eastAsia="fr-FR"/>
        </w:rPr>
        <w:t xml:space="preserve"> wijze van </w:t>
      </w:r>
      <w:r w:rsidR="00CD539E">
        <w:rPr>
          <w:lang w:eastAsia="fr-FR"/>
        </w:rPr>
        <w:t>inzameling en</w:t>
      </w:r>
      <w:r w:rsidR="00CF4302">
        <w:rPr>
          <w:lang w:eastAsia="fr-FR"/>
        </w:rPr>
        <w:t xml:space="preserve"> de</w:t>
      </w:r>
      <w:r w:rsidR="00821028">
        <w:rPr>
          <w:lang w:eastAsia="fr-FR"/>
        </w:rPr>
        <w:t xml:space="preserve"> duur van de opslag</w:t>
      </w:r>
      <w:r w:rsidR="00C265D3">
        <w:rPr>
          <w:lang w:eastAsia="fr-FR"/>
        </w:rPr>
        <w:t xml:space="preserve"> </w:t>
      </w:r>
      <w:r>
        <w:rPr>
          <w:lang w:eastAsia="fr-FR"/>
        </w:rPr>
        <w:t xml:space="preserve">van </w:t>
      </w:r>
      <w:r w:rsidR="00E66AD8">
        <w:rPr>
          <w:lang w:eastAsia="fr-FR"/>
        </w:rPr>
        <w:t>de in het ziekenhuis gegenereerd</w:t>
      </w:r>
      <w:r w:rsidR="0000736D">
        <w:rPr>
          <w:lang w:eastAsia="fr-FR"/>
        </w:rPr>
        <w:t>e radioactieve afvalstoffen</w:t>
      </w:r>
      <w:r w:rsidR="008123A5">
        <w:rPr>
          <w:lang w:eastAsia="fr-FR"/>
        </w:rPr>
        <w:t xml:space="preserve"> en besmette materialen</w:t>
      </w:r>
      <w:r w:rsidR="0000736D">
        <w:rPr>
          <w:lang w:eastAsia="fr-FR"/>
        </w:rPr>
        <w:t xml:space="preserve"> </w:t>
      </w:r>
      <w:r w:rsidR="00E66AD8">
        <w:rPr>
          <w:lang w:eastAsia="fr-FR"/>
        </w:rPr>
        <w:t>(</w:t>
      </w:r>
      <w:r w:rsidR="00CF4302">
        <w:rPr>
          <w:lang w:eastAsia="fr-FR"/>
        </w:rPr>
        <w:t xml:space="preserve">bv. </w:t>
      </w:r>
      <w:r w:rsidR="00E66AD8">
        <w:rPr>
          <w:lang w:eastAsia="fr-FR"/>
        </w:rPr>
        <w:t>flesjes, injectiemateriaal, tissues,</w:t>
      </w:r>
      <w:r w:rsidR="0000736D">
        <w:rPr>
          <w:lang w:eastAsia="fr-FR"/>
        </w:rPr>
        <w:t xml:space="preserve"> urine</w:t>
      </w:r>
      <w:r w:rsidR="00E66AD8">
        <w:rPr>
          <w:lang w:eastAsia="fr-FR"/>
        </w:rPr>
        <w:t xml:space="preserve">…) </w:t>
      </w:r>
      <w:r w:rsidR="007F139A">
        <w:rPr>
          <w:lang w:eastAsia="fr-FR"/>
        </w:rPr>
        <w:t xml:space="preserve"> </w:t>
      </w:r>
      <w:r w:rsidR="00B97AA3">
        <w:rPr>
          <w:lang w:eastAsia="fr-FR"/>
        </w:rPr>
        <w:t>tot aan de reglementaire voorwaarden en niveaus voor vrijgave/lozing wordt vold</w:t>
      </w:r>
      <w:r w:rsidR="00F940B2">
        <w:rPr>
          <w:lang w:eastAsia="fr-FR"/>
        </w:rPr>
        <w:t>aa</w:t>
      </w:r>
      <w:r w:rsidR="00B97AA3">
        <w:rPr>
          <w:lang w:eastAsia="fr-FR"/>
        </w:rPr>
        <w:t>n.</w:t>
      </w:r>
    </w:p>
    <w:p w14:paraId="0698A21F" w14:textId="77777777" w:rsidR="00E66AD8" w:rsidRDefault="00E66AD8" w:rsidP="00E66AD8">
      <w:pPr>
        <w:pStyle w:val="ListParagraph"/>
        <w:jc w:val="both"/>
        <w:rPr>
          <w:lang w:eastAsia="fr-FR"/>
        </w:rPr>
      </w:pPr>
      <w:bookmarkStart w:id="0" w:name="_GoBack"/>
      <w:bookmarkEnd w:id="0"/>
    </w:p>
    <w:p w14:paraId="2108D6EF" w14:textId="30D7CBED" w:rsidR="00F2096A" w:rsidRDefault="00B464A1" w:rsidP="00BE0878">
      <w:pPr>
        <w:jc w:val="both"/>
        <w:rPr>
          <w:lang w:eastAsia="fr-FR"/>
        </w:rPr>
      </w:pPr>
      <w:r>
        <w:rPr>
          <w:lang w:eastAsia="fr-FR"/>
        </w:rPr>
        <w:t>Het is aan de</w:t>
      </w:r>
      <w:r w:rsidR="007403CF">
        <w:rPr>
          <w:lang w:eastAsia="fr-FR"/>
        </w:rPr>
        <w:t xml:space="preserve"> </w:t>
      </w:r>
      <w:r w:rsidR="00BE0878">
        <w:rPr>
          <w:lang w:eastAsia="fr-FR"/>
        </w:rPr>
        <w:t>(toekomstige) exploitant</w:t>
      </w:r>
      <w:r w:rsidR="007403CF">
        <w:rPr>
          <w:lang w:eastAsia="fr-FR"/>
        </w:rPr>
        <w:t xml:space="preserve"> om alle nodige middelen en </w:t>
      </w:r>
      <w:r w:rsidR="00881F67">
        <w:rPr>
          <w:lang w:eastAsia="fr-FR"/>
        </w:rPr>
        <w:t>maatregelen</w:t>
      </w:r>
      <w:r w:rsidR="00A87658">
        <w:rPr>
          <w:lang w:eastAsia="fr-FR"/>
        </w:rPr>
        <w:t xml:space="preserve"> in </w:t>
      </w:r>
      <w:r w:rsidR="001951A3">
        <w:rPr>
          <w:lang w:eastAsia="fr-FR"/>
        </w:rPr>
        <w:t>de</w:t>
      </w:r>
      <w:r w:rsidR="00A87658">
        <w:rPr>
          <w:lang w:eastAsia="fr-FR"/>
        </w:rPr>
        <w:t xml:space="preserve"> inrichting</w:t>
      </w:r>
      <w:r w:rsidR="007403CF">
        <w:rPr>
          <w:lang w:eastAsia="fr-FR"/>
        </w:rPr>
        <w:t xml:space="preserve"> te voorzien om</w:t>
      </w:r>
      <w:r w:rsidR="00881F67">
        <w:rPr>
          <w:lang w:eastAsia="fr-FR"/>
        </w:rPr>
        <w:t xml:space="preserve"> </w:t>
      </w:r>
      <w:r>
        <w:rPr>
          <w:lang w:eastAsia="fr-FR"/>
        </w:rPr>
        <w:t>een afdoende</w:t>
      </w:r>
      <w:r w:rsidR="00881F67">
        <w:rPr>
          <w:lang w:eastAsia="fr-FR"/>
        </w:rPr>
        <w:t xml:space="preserve"> stralingsbescherming</w:t>
      </w:r>
      <w:r w:rsidR="001951A3">
        <w:rPr>
          <w:lang w:eastAsia="fr-FR"/>
        </w:rPr>
        <w:t xml:space="preserve"> van de mens en het leefmilieu</w:t>
      </w:r>
      <w:r>
        <w:rPr>
          <w:lang w:eastAsia="fr-FR"/>
        </w:rPr>
        <w:t xml:space="preserve"> </w:t>
      </w:r>
      <w:r w:rsidR="007403CF">
        <w:rPr>
          <w:lang w:eastAsia="fr-FR"/>
        </w:rPr>
        <w:t xml:space="preserve">te kunnen verzekeren, evenals de naleving van </w:t>
      </w:r>
      <w:r w:rsidR="003B71AE">
        <w:rPr>
          <w:lang w:eastAsia="fr-FR"/>
        </w:rPr>
        <w:t>de</w:t>
      </w:r>
      <w:r w:rsidR="007403CF">
        <w:rPr>
          <w:lang w:eastAsia="fr-FR"/>
        </w:rPr>
        <w:t xml:space="preserve"> reglementaire vereisten</w:t>
      </w:r>
      <w:r w:rsidR="008323D5">
        <w:rPr>
          <w:lang w:eastAsia="fr-FR"/>
        </w:rPr>
        <w:t>,</w:t>
      </w:r>
      <w:r w:rsidR="003B71AE">
        <w:rPr>
          <w:lang w:eastAsia="fr-FR"/>
        </w:rPr>
        <w:t xml:space="preserve"> </w:t>
      </w:r>
      <w:r w:rsidR="00CB11AF">
        <w:rPr>
          <w:lang w:eastAsia="fr-FR"/>
        </w:rPr>
        <w:t>in het bijzonder deze met betrekking tot</w:t>
      </w:r>
      <w:r w:rsidR="000E5B9F">
        <w:rPr>
          <w:lang w:eastAsia="fr-FR"/>
        </w:rPr>
        <w:t xml:space="preserve"> de vrijgave</w:t>
      </w:r>
      <w:r w:rsidR="00C84D6C">
        <w:rPr>
          <w:lang w:eastAsia="fr-FR"/>
        </w:rPr>
        <w:t>/</w:t>
      </w:r>
      <w:r w:rsidR="000E5B9F">
        <w:rPr>
          <w:lang w:eastAsia="fr-FR"/>
        </w:rPr>
        <w:t>lozing van radioactieve</w:t>
      </w:r>
      <w:r w:rsidR="00C13EDD">
        <w:rPr>
          <w:lang w:eastAsia="fr-FR"/>
        </w:rPr>
        <w:t xml:space="preserve"> </w:t>
      </w:r>
      <w:r w:rsidR="000E5B9F">
        <w:rPr>
          <w:lang w:eastAsia="fr-FR"/>
        </w:rPr>
        <w:t>afvalstoffen</w:t>
      </w:r>
      <w:r w:rsidR="008123A5">
        <w:rPr>
          <w:lang w:eastAsia="fr-FR"/>
        </w:rPr>
        <w:t xml:space="preserve"> en besmette materialen</w:t>
      </w:r>
      <w:r w:rsidR="007403CF">
        <w:rPr>
          <w:lang w:eastAsia="fr-FR"/>
        </w:rPr>
        <w:t>.</w:t>
      </w:r>
      <w:r w:rsidR="003676B3">
        <w:rPr>
          <w:lang w:eastAsia="fr-FR"/>
        </w:rPr>
        <w:t xml:space="preserve"> </w:t>
      </w:r>
    </w:p>
    <w:p w14:paraId="4A476489" w14:textId="3A71FB2E" w:rsidR="00881F67" w:rsidRDefault="007E2C19" w:rsidP="00BE0878">
      <w:pPr>
        <w:jc w:val="both"/>
        <w:rPr>
          <w:lang w:eastAsia="fr-FR"/>
        </w:rPr>
      </w:pPr>
      <w:r>
        <w:rPr>
          <w:lang w:eastAsia="fr-FR"/>
        </w:rPr>
        <w:t>Wij houden er</w:t>
      </w:r>
      <w:r w:rsidR="008323D5">
        <w:rPr>
          <w:lang w:eastAsia="fr-FR"/>
        </w:rPr>
        <w:t xml:space="preserve"> </w:t>
      </w:r>
      <w:r>
        <w:rPr>
          <w:lang w:eastAsia="fr-FR"/>
        </w:rPr>
        <w:t>aan u</w:t>
      </w:r>
      <w:r w:rsidR="00B464A1">
        <w:rPr>
          <w:lang w:eastAsia="fr-FR"/>
        </w:rPr>
        <w:t xml:space="preserve"> </w:t>
      </w:r>
      <w:r>
        <w:rPr>
          <w:lang w:eastAsia="fr-FR"/>
        </w:rPr>
        <w:t>te herinneren aan het feit dat nieuwe installaties en handelingen of eraan aangebrachte wijzigingen</w:t>
      </w:r>
      <w:r w:rsidR="003B71AE">
        <w:rPr>
          <w:lang w:eastAsia="fr-FR"/>
        </w:rPr>
        <w:t xml:space="preserve"> altijd</w:t>
      </w:r>
      <w:r w:rsidR="002F66B9">
        <w:rPr>
          <w:lang w:eastAsia="fr-FR"/>
        </w:rPr>
        <w:t xml:space="preserve"> voorafgaandelijk moeten worden onderzocht en goedgekeurd door een deskundige erkend in de fysische controle.</w:t>
      </w:r>
    </w:p>
    <w:sectPr w:rsidR="00881F67" w:rsidSect="00127805">
      <w:pgSz w:w="11906" w:h="16838"/>
      <w:pgMar w:top="1417" w:right="1417" w:bottom="1417"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AFA24A" w15:done="0"/>
  <w15:commentEx w15:paraId="78656207" w15:done="0"/>
  <w15:commentEx w15:paraId="729763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1AA99" w14:textId="77777777" w:rsidR="0067283C" w:rsidRDefault="0067283C" w:rsidP="0067283C">
      <w:r>
        <w:separator/>
      </w:r>
    </w:p>
  </w:endnote>
  <w:endnote w:type="continuationSeparator" w:id="0">
    <w:p w14:paraId="21780522" w14:textId="77777777" w:rsidR="0067283C" w:rsidRDefault="0067283C" w:rsidP="0067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519D1" w14:textId="77777777" w:rsidR="0067283C" w:rsidRDefault="0067283C" w:rsidP="0067283C">
      <w:r>
        <w:separator/>
      </w:r>
    </w:p>
  </w:footnote>
  <w:footnote w:type="continuationSeparator" w:id="0">
    <w:p w14:paraId="170F8FCE" w14:textId="77777777" w:rsidR="0067283C" w:rsidRDefault="0067283C" w:rsidP="0067283C">
      <w:r>
        <w:continuationSeparator/>
      </w:r>
    </w:p>
  </w:footnote>
  <w:footnote w:id="1">
    <w:p w14:paraId="12DBBA9D" w14:textId="4D5F4EBF" w:rsidR="003D6186" w:rsidRDefault="00CE684F" w:rsidP="00CE684F">
      <w:pPr>
        <w:pStyle w:val="FootnoteText"/>
      </w:pPr>
      <w:r>
        <w:rPr>
          <w:rStyle w:val="FootnoteReference"/>
        </w:rPr>
        <w:footnoteRef/>
      </w:r>
      <w:r>
        <w:t xml:space="preserve"> Advies hoge gezondheidsraad </w:t>
      </w:r>
      <w:r w:rsidR="00F940B2">
        <w:t>(</w:t>
      </w:r>
      <w:r>
        <w:t>2012</w:t>
      </w:r>
      <w:r w:rsidR="00F940B2">
        <w:t>)</w:t>
      </w:r>
      <w:r w:rsidR="003D6186">
        <w:t xml:space="preserve"> </w:t>
      </w:r>
      <w:hyperlink r:id="rId1" w:history="1">
        <w:r w:rsidR="003D6186" w:rsidRPr="00F33BCC">
          <w:rPr>
            <w:rStyle w:val="Hyperlink"/>
          </w:rPr>
          <w:t>https://fanc.fgov.be/nl/system/files/peptide_receptor_radionuclide_therapy.pdf</w:t>
        </w:r>
      </w:hyperlink>
    </w:p>
    <w:p w14:paraId="213B09FD" w14:textId="5C5CCACE" w:rsidR="00F940B2" w:rsidRPr="00F940B2" w:rsidRDefault="003D6186" w:rsidP="00CE684F">
      <w:pPr>
        <w:pStyle w:val="FootnoteText"/>
      </w:pPr>
      <w:r w:rsidRPr="00F940B2">
        <w:t>en</w:t>
      </w:r>
      <w:r w:rsidR="00CE684F" w:rsidRPr="00F940B2">
        <w:t xml:space="preserve"> </w:t>
      </w:r>
      <w:r w:rsidR="00F940B2" w:rsidRPr="00F940B2">
        <w:t xml:space="preserve">joint IAEA, </w:t>
      </w:r>
      <w:r w:rsidR="00CE684F" w:rsidRPr="00F940B2">
        <w:t xml:space="preserve">EANM </w:t>
      </w:r>
      <w:r w:rsidR="00F940B2" w:rsidRPr="00F940B2">
        <w:t xml:space="preserve">en SNMMI guideline </w:t>
      </w:r>
      <w:r w:rsidR="00F940B2">
        <w:t xml:space="preserve">(2013) </w:t>
      </w:r>
      <w:hyperlink r:id="rId2" w:history="1">
        <w:r w:rsidR="00F940B2" w:rsidRPr="00F940B2">
          <w:rPr>
            <w:rStyle w:val="Hyperlink"/>
          </w:rPr>
          <w:t>https://eanm.org/publications/guidelines/2013_published_RNTC_IAEA_EANM_SNMMI_Guidance_Paper_PRRNT.pdf</w:t>
        </w:r>
      </w:hyperlink>
    </w:p>
  </w:footnote>
  <w:footnote w:id="2">
    <w:p w14:paraId="3FE7E62D" w14:textId="03698808" w:rsidR="00A1283C" w:rsidRDefault="00A1283C" w:rsidP="00F2096A">
      <w:pPr>
        <w:pStyle w:val="FootnoteText"/>
        <w:ind w:left="142" w:hanging="142"/>
        <w:jc w:val="both"/>
      </w:pPr>
      <w:r>
        <w:rPr>
          <w:rStyle w:val="FootnoteReference"/>
        </w:rPr>
        <w:footnoteRef/>
      </w:r>
      <w:r>
        <w:t xml:space="preserve"> H</w:t>
      </w:r>
      <w:r>
        <w:rPr>
          <w:lang w:eastAsia="fr-FR"/>
        </w:rPr>
        <w:t xml:space="preserve">iervoor is een vergunning noodzakelijk volgens het Koninklijk Besluit van 12/07/2015 betreffende radioactieve producten voor </w:t>
      </w:r>
      <w:r>
        <w:rPr>
          <w:i/>
          <w:lang w:eastAsia="fr-FR"/>
        </w:rPr>
        <w:t>in vitro</w:t>
      </w:r>
      <w:r>
        <w:rPr>
          <w:lang w:eastAsia="fr-FR"/>
        </w:rPr>
        <w:t xml:space="preserve"> of </w:t>
      </w:r>
      <w:r>
        <w:rPr>
          <w:i/>
          <w:lang w:eastAsia="fr-FR"/>
        </w:rPr>
        <w:t>in vivo</w:t>
      </w:r>
      <w:r>
        <w:rPr>
          <w:lang w:eastAsia="fr-FR"/>
        </w:rPr>
        <w:t xml:space="preserve"> gebruik in de geneeskunde, in de diergeneeskunde, in een klinische proef of in een klinisch onderzoek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C760D"/>
    <w:multiLevelType w:val="hybridMultilevel"/>
    <w:tmpl w:val="62CE053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A0869B5"/>
    <w:multiLevelType w:val="hybridMultilevel"/>
    <w:tmpl w:val="43DC9D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nsid w:val="239658BE"/>
    <w:multiLevelType w:val="hybridMultilevel"/>
    <w:tmpl w:val="B69630C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66C27E42"/>
    <w:multiLevelType w:val="hybridMultilevel"/>
    <w:tmpl w:val="35C2BF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69E66E52"/>
    <w:multiLevelType w:val="hybridMultilevel"/>
    <w:tmpl w:val="1148537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SSENS Alexandra">
    <w15:presenceInfo w15:providerId="AD" w15:userId="S-1-5-21-1815918703-2837539276-2637082655-1241"/>
  </w15:person>
  <w15:person w15:author="FREMOUT An">
    <w15:presenceInfo w15:providerId="AD" w15:userId="S-1-5-21-1815918703-2837539276-2637082655-1178"/>
  </w15:person>
  <w15:person w15:author="Matthias PUES">
    <w15:presenceInfo w15:providerId="AD" w15:userId="S-1-5-21-1815918703-2837539276-2637082655-311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683"/>
    <w:rsid w:val="0000736D"/>
    <w:rsid w:val="00091683"/>
    <w:rsid w:val="000B720B"/>
    <w:rsid w:val="000E5B9F"/>
    <w:rsid w:val="0011478B"/>
    <w:rsid w:val="00127805"/>
    <w:rsid w:val="001724FB"/>
    <w:rsid w:val="001951A3"/>
    <w:rsid w:val="00214B6D"/>
    <w:rsid w:val="002674CA"/>
    <w:rsid w:val="002B5D07"/>
    <w:rsid w:val="002F66B9"/>
    <w:rsid w:val="00340013"/>
    <w:rsid w:val="00345582"/>
    <w:rsid w:val="003676B3"/>
    <w:rsid w:val="00393D33"/>
    <w:rsid w:val="003B37CB"/>
    <w:rsid w:val="003B71AE"/>
    <w:rsid w:val="003D6186"/>
    <w:rsid w:val="00462A36"/>
    <w:rsid w:val="004667A8"/>
    <w:rsid w:val="005D7153"/>
    <w:rsid w:val="005D75DF"/>
    <w:rsid w:val="00624C8F"/>
    <w:rsid w:val="0067283C"/>
    <w:rsid w:val="007059EF"/>
    <w:rsid w:val="00710B50"/>
    <w:rsid w:val="007403CF"/>
    <w:rsid w:val="007434B4"/>
    <w:rsid w:val="00765A9B"/>
    <w:rsid w:val="00792E6D"/>
    <w:rsid w:val="007E2C19"/>
    <w:rsid w:val="007F139A"/>
    <w:rsid w:val="008123A5"/>
    <w:rsid w:val="00814FFD"/>
    <w:rsid w:val="00817B3E"/>
    <w:rsid w:val="00821028"/>
    <w:rsid w:val="008323D5"/>
    <w:rsid w:val="00856CF3"/>
    <w:rsid w:val="00881F67"/>
    <w:rsid w:val="008B3E36"/>
    <w:rsid w:val="008C050A"/>
    <w:rsid w:val="009902D1"/>
    <w:rsid w:val="009975DE"/>
    <w:rsid w:val="009A5FC4"/>
    <w:rsid w:val="009C03BE"/>
    <w:rsid w:val="009E1331"/>
    <w:rsid w:val="00A1283C"/>
    <w:rsid w:val="00A85632"/>
    <w:rsid w:val="00A87658"/>
    <w:rsid w:val="00B17704"/>
    <w:rsid w:val="00B464A1"/>
    <w:rsid w:val="00B97AA3"/>
    <w:rsid w:val="00BA5BE0"/>
    <w:rsid w:val="00BE03B5"/>
    <w:rsid w:val="00BE0878"/>
    <w:rsid w:val="00C13EDD"/>
    <w:rsid w:val="00C265D3"/>
    <w:rsid w:val="00C67F82"/>
    <w:rsid w:val="00C84D6C"/>
    <w:rsid w:val="00CA3634"/>
    <w:rsid w:val="00CB11AF"/>
    <w:rsid w:val="00CD539E"/>
    <w:rsid w:val="00CE684F"/>
    <w:rsid w:val="00CF4302"/>
    <w:rsid w:val="00D07612"/>
    <w:rsid w:val="00D240AA"/>
    <w:rsid w:val="00D47419"/>
    <w:rsid w:val="00D552E7"/>
    <w:rsid w:val="00D87686"/>
    <w:rsid w:val="00E041F1"/>
    <w:rsid w:val="00E15222"/>
    <w:rsid w:val="00E66AD8"/>
    <w:rsid w:val="00E679E5"/>
    <w:rsid w:val="00E67F25"/>
    <w:rsid w:val="00E75E12"/>
    <w:rsid w:val="00EB1BF1"/>
    <w:rsid w:val="00ED0BCA"/>
    <w:rsid w:val="00F132FD"/>
    <w:rsid w:val="00F2096A"/>
    <w:rsid w:val="00F76C74"/>
    <w:rsid w:val="00F91310"/>
    <w:rsid w:val="00F940B2"/>
    <w:rsid w:val="00F9762E"/>
    <w:rsid w:val="00FD32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E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683"/>
    <w:pPr>
      <w:spacing w:after="0" w:line="240" w:lineRule="auto"/>
    </w:pPr>
    <w:rPr>
      <w:rFonts w:ascii="Tahoma" w:eastAsia="Times New Roman" w:hAnsi="Tahom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683"/>
    <w:pPr>
      <w:ind w:left="720"/>
      <w:contextualSpacing/>
    </w:pPr>
  </w:style>
  <w:style w:type="table" w:styleId="LightList-Accent3">
    <w:name w:val="Light List Accent 3"/>
    <w:basedOn w:val="TableNormal"/>
    <w:uiPriority w:val="61"/>
    <w:rsid w:val="00091683"/>
    <w:pPr>
      <w:spacing w:after="0" w:line="240" w:lineRule="auto"/>
    </w:pPr>
    <w:rPr>
      <w:rFonts w:ascii="Times New Roman" w:eastAsia="Times New Roman" w:hAnsi="Times New Roman" w:cs="Times New Roman"/>
      <w:sz w:val="20"/>
      <w:szCs w:val="20"/>
      <w:lang w:val="fr-BE" w:eastAsia="fr-BE"/>
    </w:rPr>
    <w:tblPr>
      <w:tblStyleRowBandSize w:val="1"/>
      <w:tblStyleColBandSize w:val="1"/>
      <w:tblInd w:w="0" w:type="nil"/>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CommentReference">
    <w:name w:val="annotation reference"/>
    <w:basedOn w:val="DefaultParagraphFont"/>
    <w:uiPriority w:val="99"/>
    <w:semiHidden/>
    <w:unhideWhenUsed/>
    <w:rsid w:val="0067283C"/>
    <w:rPr>
      <w:sz w:val="16"/>
      <w:szCs w:val="16"/>
    </w:rPr>
  </w:style>
  <w:style w:type="paragraph" w:styleId="CommentText">
    <w:name w:val="annotation text"/>
    <w:basedOn w:val="Normal"/>
    <w:link w:val="CommentTextChar"/>
    <w:uiPriority w:val="99"/>
    <w:unhideWhenUsed/>
    <w:rsid w:val="0067283C"/>
    <w:rPr>
      <w:szCs w:val="20"/>
    </w:rPr>
  </w:style>
  <w:style w:type="character" w:customStyle="1" w:styleId="CommentTextChar">
    <w:name w:val="Comment Text Char"/>
    <w:basedOn w:val="DefaultParagraphFont"/>
    <w:link w:val="CommentText"/>
    <w:uiPriority w:val="99"/>
    <w:rsid w:val="0067283C"/>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67283C"/>
    <w:rPr>
      <w:b/>
      <w:bCs/>
    </w:rPr>
  </w:style>
  <w:style w:type="character" w:customStyle="1" w:styleId="CommentSubjectChar">
    <w:name w:val="Comment Subject Char"/>
    <w:basedOn w:val="CommentTextChar"/>
    <w:link w:val="CommentSubject"/>
    <w:uiPriority w:val="99"/>
    <w:semiHidden/>
    <w:rsid w:val="0067283C"/>
    <w:rPr>
      <w:rFonts w:ascii="Tahoma" w:eastAsia="Times New Roman" w:hAnsi="Tahoma" w:cs="Times New Roman"/>
      <w:b/>
      <w:bCs/>
      <w:sz w:val="20"/>
      <w:szCs w:val="20"/>
    </w:rPr>
  </w:style>
  <w:style w:type="paragraph" w:styleId="BalloonText">
    <w:name w:val="Balloon Text"/>
    <w:basedOn w:val="Normal"/>
    <w:link w:val="BalloonTextChar"/>
    <w:uiPriority w:val="99"/>
    <w:semiHidden/>
    <w:unhideWhenUsed/>
    <w:rsid w:val="0067283C"/>
    <w:rPr>
      <w:rFonts w:cs="Tahoma"/>
      <w:sz w:val="16"/>
      <w:szCs w:val="16"/>
    </w:rPr>
  </w:style>
  <w:style w:type="character" w:customStyle="1" w:styleId="BalloonTextChar">
    <w:name w:val="Balloon Text Char"/>
    <w:basedOn w:val="DefaultParagraphFont"/>
    <w:link w:val="BalloonText"/>
    <w:uiPriority w:val="99"/>
    <w:semiHidden/>
    <w:rsid w:val="0067283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67283C"/>
    <w:rPr>
      <w:szCs w:val="20"/>
    </w:rPr>
  </w:style>
  <w:style w:type="character" w:customStyle="1" w:styleId="FootnoteTextChar">
    <w:name w:val="Footnote Text Char"/>
    <w:basedOn w:val="DefaultParagraphFont"/>
    <w:link w:val="FootnoteText"/>
    <w:uiPriority w:val="99"/>
    <w:semiHidden/>
    <w:rsid w:val="0067283C"/>
    <w:rPr>
      <w:rFonts w:ascii="Tahoma" w:eastAsia="Times New Roman" w:hAnsi="Tahoma" w:cs="Times New Roman"/>
      <w:sz w:val="20"/>
      <w:szCs w:val="20"/>
    </w:rPr>
  </w:style>
  <w:style w:type="character" w:styleId="FootnoteReference">
    <w:name w:val="footnote reference"/>
    <w:basedOn w:val="DefaultParagraphFont"/>
    <w:uiPriority w:val="99"/>
    <w:semiHidden/>
    <w:unhideWhenUsed/>
    <w:rsid w:val="0067283C"/>
    <w:rPr>
      <w:vertAlign w:val="superscript"/>
    </w:rPr>
  </w:style>
  <w:style w:type="character" w:styleId="Hyperlink">
    <w:name w:val="Hyperlink"/>
    <w:basedOn w:val="DefaultParagraphFont"/>
    <w:uiPriority w:val="99"/>
    <w:unhideWhenUsed/>
    <w:rsid w:val="00B177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683"/>
    <w:pPr>
      <w:spacing w:after="0" w:line="240" w:lineRule="auto"/>
    </w:pPr>
    <w:rPr>
      <w:rFonts w:ascii="Tahoma" w:eastAsia="Times New Roman" w:hAnsi="Tahom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683"/>
    <w:pPr>
      <w:ind w:left="720"/>
      <w:contextualSpacing/>
    </w:pPr>
  </w:style>
  <w:style w:type="table" w:styleId="LightList-Accent3">
    <w:name w:val="Light List Accent 3"/>
    <w:basedOn w:val="TableNormal"/>
    <w:uiPriority w:val="61"/>
    <w:rsid w:val="00091683"/>
    <w:pPr>
      <w:spacing w:after="0" w:line="240" w:lineRule="auto"/>
    </w:pPr>
    <w:rPr>
      <w:rFonts w:ascii="Times New Roman" w:eastAsia="Times New Roman" w:hAnsi="Times New Roman" w:cs="Times New Roman"/>
      <w:sz w:val="20"/>
      <w:szCs w:val="20"/>
      <w:lang w:val="fr-BE" w:eastAsia="fr-BE"/>
    </w:rPr>
    <w:tblPr>
      <w:tblStyleRowBandSize w:val="1"/>
      <w:tblStyleColBandSize w:val="1"/>
      <w:tblInd w:w="0" w:type="nil"/>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CommentReference">
    <w:name w:val="annotation reference"/>
    <w:basedOn w:val="DefaultParagraphFont"/>
    <w:uiPriority w:val="99"/>
    <w:semiHidden/>
    <w:unhideWhenUsed/>
    <w:rsid w:val="0067283C"/>
    <w:rPr>
      <w:sz w:val="16"/>
      <w:szCs w:val="16"/>
    </w:rPr>
  </w:style>
  <w:style w:type="paragraph" w:styleId="CommentText">
    <w:name w:val="annotation text"/>
    <w:basedOn w:val="Normal"/>
    <w:link w:val="CommentTextChar"/>
    <w:uiPriority w:val="99"/>
    <w:unhideWhenUsed/>
    <w:rsid w:val="0067283C"/>
    <w:rPr>
      <w:szCs w:val="20"/>
    </w:rPr>
  </w:style>
  <w:style w:type="character" w:customStyle="1" w:styleId="CommentTextChar">
    <w:name w:val="Comment Text Char"/>
    <w:basedOn w:val="DefaultParagraphFont"/>
    <w:link w:val="CommentText"/>
    <w:uiPriority w:val="99"/>
    <w:rsid w:val="0067283C"/>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67283C"/>
    <w:rPr>
      <w:b/>
      <w:bCs/>
    </w:rPr>
  </w:style>
  <w:style w:type="character" w:customStyle="1" w:styleId="CommentSubjectChar">
    <w:name w:val="Comment Subject Char"/>
    <w:basedOn w:val="CommentTextChar"/>
    <w:link w:val="CommentSubject"/>
    <w:uiPriority w:val="99"/>
    <w:semiHidden/>
    <w:rsid w:val="0067283C"/>
    <w:rPr>
      <w:rFonts w:ascii="Tahoma" w:eastAsia="Times New Roman" w:hAnsi="Tahoma" w:cs="Times New Roman"/>
      <w:b/>
      <w:bCs/>
      <w:sz w:val="20"/>
      <w:szCs w:val="20"/>
    </w:rPr>
  </w:style>
  <w:style w:type="paragraph" w:styleId="BalloonText">
    <w:name w:val="Balloon Text"/>
    <w:basedOn w:val="Normal"/>
    <w:link w:val="BalloonTextChar"/>
    <w:uiPriority w:val="99"/>
    <w:semiHidden/>
    <w:unhideWhenUsed/>
    <w:rsid w:val="0067283C"/>
    <w:rPr>
      <w:rFonts w:cs="Tahoma"/>
      <w:sz w:val="16"/>
      <w:szCs w:val="16"/>
    </w:rPr>
  </w:style>
  <w:style w:type="character" w:customStyle="1" w:styleId="BalloonTextChar">
    <w:name w:val="Balloon Text Char"/>
    <w:basedOn w:val="DefaultParagraphFont"/>
    <w:link w:val="BalloonText"/>
    <w:uiPriority w:val="99"/>
    <w:semiHidden/>
    <w:rsid w:val="0067283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67283C"/>
    <w:rPr>
      <w:szCs w:val="20"/>
    </w:rPr>
  </w:style>
  <w:style w:type="character" w:customStyle="1" w:styleId="FootnoteTextChar">
    <w:name w:val="Footnote Text Char"/>
    <w:basedOn w:val="DefaultParagraphFont"/>
    <w:link w:val="FootnoteText"/>
    <w:uiPriority w:val="99"/>
    <w:semiHidden/>
    <w:rsid w:val="0067283C"/>
    <w:rPr>
      <w:rFonts w:ascii="Tahoma" w:eastAsia="Times New Roman" w:hAnsi="Tahoma" w:cs="Times New Roman"/>
      <w:sz w:val="20"/>
      <w:szCs w:val="20"/>
    </w:rPr>
  </w:style>
  <w:style w:type="character" w:styleId="FootnoteReference">
    <w:name w:val="footnote reference"/>
    <w:basedOn w:val="DefaultParagraphFont"/>
    <w:uiPriority w:val="99"/>
    <w:semiHidden/>
    <w:unhideWhenUsed/>
    <w:rsid w:val="0067283C"/>
    <w:rPr>
      <w:vertAlign w:val="superscript"/>
    </w:rPr>
  </w:style>
  <w:style w:type="character" w:styleId="Hyperlink">
    <w:name w:val="Hyperlink"/>
    <w:basedOn w:val="DefaultParagraphFont"/>
    <w:uiPriority w:val="99"/>
    <w:unhideWhenUsed/>
    <w:rsid w:val="00B177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82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anm.org/publications/guidelines/2013_published_RNTC_IAEA_EANM_SNMMI_Guidance_Paper_PRRNT.pdf" TargetMode="External"/><Relationship Id="rId1" Type="http://schemas.openxmlformats.org/officeDocument/2006/relationships/hyperlink" Target="https://fanc.fgov.be/nl/system/files/peptide_receptor_radionuclide_therap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FB3ED-5981-4EEF-86C1-70D7411CC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426</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FANC-AFCN</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VANDECAPELLE Marleen</dc:creator>
  <cp:lastModifiedBy>VANDECAPELLE Marleen</cp:lastModifiedBy>
  <cp:revision>3</cp:revision>
  <dcterms:created xsi:type="dcterms:W3CDTF">2019-06-17T08:30:00Z</dcterms:created>
  <dcterms:modified xsi:type="dcterms:W3CDTF">2019-06-17T08:49:00Z</dcterms:modified>
</cp:coreProperties>
</file>